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992" w:rsidRDefault="00C77512" w:rsidP="00C77512">
      <w:pPr>
        <w:pStyle w:val="NoSpacing"/>
        <w:jc w:val="center"/>
        <w:rPr>
          <w:b/>
          <w:sz w:val="24"/>
          <w:szCs w:val="24"/>
        </w:rPr>
      </w:pPr>
      <w:r w:rsidRPr="009B01A3">
        <w:rPr>
          <w:noProof/>
          <w:lang w:eastAsia="en-GB"/>
        </w:rPr>
        <w:drawing>
          <wp:inline distT="0" distB="0" distL="0" distR="0" wp14:anchorId="77925ACF" wp14:editId="44B2C08B">
            <wp:extent cx="1800000" cy="122745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OPA_Logo_300dp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0000" cy="1227453"/>
                    </a:xfrm>
                    <a:prstGeom prst="rect">
                      <a:avLst/>
                    </a:prstGeom>
                  </pic:spPr>
                </pic:pic>
              </a:graphicData>
            </a:graphic>
          </wp:inline>
        </w:drawing>
      </w:r>
    </w:p>
    <w:p w:rsidR="000103E0" w:rsidRDefault="000103E0" w:rsidP="00527755">
      <w:pPr>
        <w:pStyle w:val="NoSpacing"/>
        <w:jc w:val="both"/>
        <w:rPr>
          <w:b/>
          <w:sz w:val="28"/>
          <w:szCs w:val="24"/>
        </w:rPr>
      </w:pPr>
    </w:p>
    <w:p w:rsidR="00C77512" w:rsidRDefault="00C77512" w:rsidP="00527755">
      <w:pPr>
        <w:pStyle w:val="NoSpacing"/>
        <w:jc w:val="both"/>
        <w:rPr>
          <w:b/>
          <w:sz w:val="28"/>
          <w:szCs w:val="24"/>
        </w:rPr>
      </w:pPr>
    </w:p>
    <w:p w:rsidR="00C77512" w:rsidRDefault="00C77512" w:rsidP="00C77512">
      <w:pPr>
        <w:pStyle w:val="QISIndentCharCharChar"/>
        <w:spacing w:after="0" w:line="276" w:lineRule="auto"/>
        <w:jc w:val="right"/>
        <w:rPr>
          <w:szCs w:val="22"/>
        </w:rPr>
      </w:pPr>
      <w:r w:rsidRPr="005D48AB">
        <w:rPr>
          <w:szCs w:val="22"/>
        </w:rPr>
        <w:t>EIOPA-1</w:t>
      </w:r>
      <w:r>
        <w:rPr>
          <w:szCs w:val="22"/>
        </w:rPr>
        <w:t>7</w:t>
      </w:r>
      <w:r w:rsidRPr="005D48AB">
        <w:rPr>
          <w:szCs w:val="22"/>
        </w:rPr>
        <w:t>-</w:t>
      </w:r>
      <w:r>
        <w:rPr>
          <w:szCs w:val="22"/>
        </w:rPr>
        <w:t>345</w:t>
      </w:r>
    </w:p>
    <w:p w:rsidR="00C77512" w:rsidRDefault="00C77512" w:rsidP="00C77512">
      <w:pPr>
        <w:pStyle w:val="QISIndentCharCharChar"/>
        <w:spacing w:after="0" w:line="276" w:lineRule="auto"/>
        <w:jc w:val="right"/>
        <w:rPr>
          <w:szCs w:val="22"/>
        </w:rPr>
      </w:pPr>
      <w:r>
        <w:rPr>
          <w:szCs w:val="22"/>
        </w:rPr>
        <w:t>8 June 2017</w:t>
      </w:r>
    </w:p>
    <w:p w:rsidR="00C77512" w:rsidRDefault="00C77512" w:rsidP="00527755">
      <w:pPr>
        <w:pStyle w:val="NoSpacing"/>
        <w:jc w:val="both"/>
        <w:rPr>
          <w:b/>
          <w:sz w:val="28"/>
          <w:szCs w:val="24"/>
        </w:rPr>
      </w:pPr>
    </w:p>
    <w:p w:rsidR="00C77512" w:rsidRDefault="00C77512" w:rsidP="00527755">
      <w:pPr>
        <w:pStyle w:val="NoSpacing"/>
        <w:jc w:val="both"/>
        <w:rPr>
          <w:b/>
          <w:sz w:val="28"/>
          <w:szCs w:val="24"/>
        </w:rPr>
      </w:pPr>
    </w:p>
    <w:p w:rsidR="00C77512" w:rsidRDefault="00C77512" w:rsidP="00C77512">
      <w:pPr>
        <w:pStyle w:val="CoverTitle"/>
        <w:spacing w:before="0" w:after="0"/>
        <w:rPr>
          <w:sz w:val="28"/>
          <w:szCs w:val="28"/>
        </w:rPr>
      </w:pPr>
    </w:p>
    <w:p w:rsidR="00C77512" w:rsidRDefault="00C77512" w:rsidP="00C77512">
      <w:pPr>
        <w:pStyle w:val="CoverTitle"/>
        <w:spacing w:before="0" w:after="0"/>
        <w:rPr>
          <w:sz w:val="28"/>
          <w:szCs w:val="28"/>
        </w:rPr>
      </w:pPr>
      <w:r>
        <w:rPr>
          <w:sz w:val="28"/>
          <w:szCs w:val="28"/>
        </w:rPr>
        <w:t>Proposal for a</w:t>
      </w:r>
      <w:r w:rsidRPr="00C77512">
        <w:rPr>
          <w:sz w:val="28"/>
          <w:szCs w:val="28"/>
        </w:rPr>
        <w:t>mendments to the adopted Solvency II Technical Standards on Reporting and Disclosure</w:t>
      </w:r>
      <w:r>
        <w:rPr>
          <w:sz w:val="28"/>
          <w:szCs w:val="28"/>
        </w:rPr>
        <w:t xml:space="preserve"> and related Guidelines</w:t>
      </w:r>
    </w:p>
    <w:p w:rsidR="00C77512" w:rsidRDefault="00C77512" w:rsidP="00C77512">
      <w:pPr>
        <w:pStyle w:val="CoverTitle"/>
        <w:spacing w:before="0" w:after="0"/>
        <w:rPr>
          <w:sz w:val="28"/>
          <w:szCs w:val="28"/>
        </w:rPr>
      </w:pPr>
    </w:p>
    <w:p w:rsidR="00E21DB8" w:rsidRDefault="00E21DB8" w:rsidP="00C77512">
      <w:pPr>
        <w:pStyle w:val="CoverTitle"/>
        <w:spacing w:before="0" w:after="0"/>
        <w:rPr>
          <w:sz w:val="28"/>
          <w:szCs w:val="28"/>
        </w:rPr>
      </w:pPr>
      <w:r w:rsidRPr="00C77512">
        <w:rPr>
          <w:sz w:val="28"/>
          <w:szCs w:val="28"/>
        </w:rPr>
        <w:t>Feedback statement</w:t>
      </w:r>
      <w:r w:rsidR="00C77512">
        <w:rPr>
          <w:sz w:val="28"/>
          <w:szCs w:val="28"/>
        </w:rPr>
        <w:t xml:space="preserve"> from comments received</w:t>
      </w:r>
    </w:p>
    <w:p w:rsidR="00C77512" w:rsidRPr="00C77512" w:rsidRDefault="00C77512" w:rsidP="00C77512">
      <w:pPr>
        <w:pStyle w:val="CoverTitle"/>
        <w:spacing w:before="0" w:after="0"/>
        <w:rPr>
          <w:sz w:val="28"/>
          <w:szCs w:val="28"/>
        </w:rPr>
      </w:pPr>
    </w:p>
    <w:p w:rsidR="00527755" w:rsidRDefault="00527755" w:rsidP="00527755">
      <w:pPr>
        <w:pStyle w:val="NoSpacing"/>
        <w:jc w:val="both"/>
      </w:pPr>
    </w:p>
    <w:p w:rsidR="00C10150" w:rsidRDefault="00C10150" w:rsidP="00527755">
      <w:pPr>
        <w:pStyle w:val="NoSpacing"/>
        <w:jc w:val="both"/>
      </w:pPr>
    </w:p>
    <w:p w:rsidR="00E21DB8" w:rsidRPr="00C77512" w:rsidRDefault="00E21DB8" w:rsidP="00527755">
      <w:pPr>
        <w:pStyle w:val="NoSpacing"/>
        <w:jc w:val="both"/>
        <w:rPr>
          <w:rFonts w:ascii="Verdana" w:hAnsi="Verdana"/>
          <w:b/>
          <w:u w:val="single"/>
        </w:rPr>
      </w:pPr>
      <w:r w:rsidRPr="00C77512">
        <w:rPr>
          <w:rFonts w:ascii="Verdana" w:hAnsi="Verdana"/>
          <w:b/>
          <w:u w:val="single"/>
        </w:rPr>
        <w:t>Introduction</w:t>
      </w:r>
    </w:p>
    <w:p w:rsidR="00527755" w:rsidRPr="00C77512" w:rsidRDefault="00527755" w:rsidP="00527755">
      <w:pPr>
        <w:pStyle w:val="NoSpacing"/>
        <w:jc w:val="both"/>
        <w:rPr>
          <w:rFonts w:ascii="Verdana" w:hAnsi="Verdana"/>
        </w:rPr>
      </w:pPr>
    </w:p>
    <w:p w:rsidR="00C77512" w:rsidRDefault="00E21DB8" w:rsidP="00527755">
      <w:pPr>
        <w:pStyle w:val="NoSpacing"/>
        <w:jc w:val="both"/>
        <w:rPr>
          <w:rFonts w:ascii="Verdana" w:hAnsi="Verdana"/>
        </w:rPr>
      </w:pPr>
      <w:r w:rsidRPr="00C77512">
        <w:rPr>
          <w:rFonts w:ascii="Verdana" w:hAnsi="Verdana"/>
        </w:rPr>
        <w:t xml:space="preserve">EIOPA would like to thank all the participants </w:t>
      </w:r>
      <w:r w:rsidR="00BE6992" w:rsidRPr="00C77512">
        <w:rPr>
          <w:rFonts w:ascii="Verdana" w:hAnsi="Verdana"/>
        </w:rPr>
        <w:t>of</w:t>
      </w:r>
      <w:r w:rsidRPr="00C77512">
        <w:rPr>
          <w:rFonts w:ascii="Verdana" w:hAnsi="Verdana"/>
        </w:rPr>
        <w:t xml:space="preserve"> the public consultation for their comments on the </w:t>
      </w:r>
      <w:r w:rsidR="00BE6992" w:rsidRPr="00C77512">
        <w:rPr>
          <w:rFonts w:ascii="Verdana" w:hAnsi="Verdana"/>
        </w:rPr>
        <w:t xml:space="preserve">corrections and amendments of the </w:t>
      </w:r>
      <w:r w:rsidR="00C77512" w:rsidRPr="00C77512">
        <w:rPr>
          <w:rFonts w:ascii="Verdana" w:hAnsi="Verdana"/>
        </w:rPr>
        <w:t>Technical Standards on Reporting and Disclosure</w:t>
      </w:r>
      <w:r w:rsidR="00C77512">
        <w:rPr>
          <w:rFonts w:ascii="Verdana" w:hAnsi="Verdana"/>
        </w:rPr>
        <w:t xml:space="preserve"> (ITSs)</w:t>
      </w:r>
      <w:r w:rsidR="00C77512" w:rsidRPr="00C77512">
        <w:rPr>
          <w:rFonts w:ascii="Verdana" w:hAnsi="Verdana"/>
        </w:rPr>
        <w:t xml:space="preserve"> and related Guidelines</w:t>
      </w:r>
      <w:r w:rsidRPr="00C77512">
        <w:rPr>
          <w:rFonts w:ascii="Verdana" w:hAnsi="Verdana"/>
        </w:rPr>
        <w:t xml:space="preserve">. </w:t>
      </w:r>
    </w:p>
    <w:p w:rsidR="00C77512" w:rsidRDefault="00C77512" w:rsidP="00527755">
      <w:pPr>
        <w:pStyle w:val="NoSpacing"/>
        <w:jc w:val="both"/>
        <w:rPr>
          <w:rFonts w:ascii="Verdana" w:hAnsi="Verdana"/>
        </w:rPr>
      </w:pPr>
    </w:p>
    <w:p w:rsidR="00E21DB8" w:rsidRPr="00C77512" w:rsidRDefault="00E21DB8" w:rsidP="00527755">
      <w:pPr>
        <w:pStyle w:val="NoSpacing"/>
        <w:jc w:val="both"/>
        <w:rPr>
          <w:rFonts w:ascii="Verdana" w:hAnsi="Verdana"/>
        </w:rPr>
      </w:pPr>
      <w:r w:rsidRPr="00C77512">
        <w:rPr>
          <w:rFonts w:ascii="Verdana" w:hAnsi="Verdana"/>
        </w:rPr>
        <w:t xml:space="preserve">The </w:t>
      </w:r>
      <w:r w:rsidR="000103E0" w:rsidRPr="00C77512">
        <w:rPr>
          <w:rFonts w:ascii="Verdana" w:hAnsi="Verdana"/>
        </w:rPr>
        <w:t>input</w:t>
      </w:r>
      <w:r w:rsidRPr="00C77512">
        <w:rPr>
          <w:rFonts w:ascii="Verdana" w:hAnsi="Verdana"/>
        </w:rPr>
        <w:t xml:space="preserve"> received provided important guidance to EIOPA in preparing a final </w:t>
      </w:r>
      <w:r w:rsidR="00C77512">
        <w:rPr>
          <w:rFonts w:ascii="Verdana" w:hAnsi="Verdana"/>
        </w:rPr>
        <w:t xml:space="preserve">draft </w:t>
      </w:r>
      <w:r w:rsidRPr="00C77512">
        <w:rPr>
          <w:rFonts w:ascii="Verdana" w:hAnsi="Verdana"/>
        </w:rPr>
        <w:t xml:space="preserve">of the </w:t>
      </w:r>
      <w:r w:rsidR="00C77512">
        <w:rPr>
          <w:rFonts w:ascii="Verdana" w:hAnsi="Verdana"/>
        </w:rPr>
        <w:t xml:space="preserve">amendments of both ITSs </w:t>
      </w:r>
      <w:r w:rsidR="000103E0" w:rsidRPr="00C77512">
        <w:rPr>
          <w:rFonts w:ascii="Verdana" w:hAnsi="Verdana"/>
        </w:rPr>
        <w:t>before</w:t>
      </w:r>
      <w:r w:rsidRPr="00C77512">
        <w:rPr>
          <w:rFonts w:ascii="Verdana" w:hAnsi="Verdana"/>
        </w:rPr>
        <w:t xml:space="preserve"> submission to the </w:t>
      </w:r>
      <w:r w:rsidR="00C77512">
        <w:rPr>
          <w:rFonts w:ascii="Verdana" w:hAnsi="Verdana"/>
        </w:rPr>
        <w:t>COM and adoption of the ERRATAS for the Guidelines</w:t>
      </w:r>
      <w:r w:rsidRPr="00C77512">
        <w:rPr>
          <w:rFonts w:ascii="Verdana" w:hAnsi="Verdana"/>
        </w:rPr>
        <w:t xml:space="preserve">. All of the comments </w:t>
      </w:r>
      <w:r w:rsidR="00603D28" w:rsidRPr="00C77512">
        <w:rPr>
          <w:rFonts w:ascii="Verdana" w:hAnsi="Verdana"/>
        </w:rPr>
        <w:t>submitted</w:t>
      </w:r>
      <w:r w:rsidRPr="00C77512">
        <w:rPr>
          <w:rFonts w:ascii="Verdana" w:hAnsi="Verdana"/>
        </w:rPr>
        <w:t xml:space="preserve"> were given careful consideration by EIOPA. A summary of the main comments received and EIOPA’s response to them can be found below.</w:t>
      </w:r>
    </w:p>
    <w:p w:rsidR="00527755" w:rsidRPr="00C77512" w:rsidRDefault="00527755" w:rsidP="00527755">
      <w:pPr>
        <w:pStyle w:val="NoSpacing"/>
        <w:jc w:val="both"/>
        <w:rPr>
          <w:rFonts w:ascii="Verdana" w:hAnsi="Verdana"/>
        </w:rPr>
      </w:pPr>
    </w:p>
    <w:p w:rsidR="00C77512" w:rsidRDefault="00D36802" w:rsidP="00527755">
      <w:pPr>
        <w:pStyle w:val="NoSpacing"/>
        <w:jc w:val="both"/>
        <w:rPr>
          <w:rFonts w:ascii="Verdana" w:hAnsi="Verdana"/>
        </w:rPr>
      </w:pPr>
      <w:r w:rsidRPr="00C77512">
        <w:rPr>
          <w:rFonts w:ascii="Verdana" w:hAnsi="Verdana"/>
        </w:rPr>
        <w:t xml:space="preserve">Prior to the public consultation a </w:t>
      </w:r>
      <w:r w:rsidR="00E21DB8" w:rsidRPr="00C77512">
        <w:rPr>
          <w:rFonts w:ascii="Verdana" w:hAnsi="Verdana"/>
        </w:rPr>
        <w:t xml:space="preserve">workshop was </w:t>
      </w:r>
      <w:r w:rsidRPr="00C77512">
        <w:rPr>
          <w:rFonts w:ascii="Verdana" w:hAnsi="Verdana"/>
        </w:rPr>
        <w:t>held</w:t>
      </w:r>
      <w:r w:rsidR="00E21DB8" w:rsidRPr="00C77512">
        <w:rPr>
          <w:rFonts w:ascii="Verdana" w:hAnsi="Verdana"/>
        </w:rPr>
        <w:t xml:space="preserve"> on </w:t>
      </w:r>
      <w:r w:rsidRPr="00C77512">
        <w:rPr>
          <w:rFonts w:ascii="Verdana" w:hAnsi="Verdana"/>
        </w:rPr>
        <w:t>19</w:t>
      </w:r>
      <w:r w:rsidR="00E21DB8" w:rsidRPr="00C77512">
        <w:rPr>
          <w:rFonts w:ascii="Verdana" w:hAnsi="Verdana"/>
        </w:rPr>
        <w:t xml:space="preserve"> April</w:t>
      </w:r>
      <w:r w:rsidRPr="00C77512">
        <w:rPr>
          <w:rFonts w:ascii="Verdana" w:hAnsi="Verdana"/>
        </w:rPr>
        <w:t xml:space="preserve"> </w:t>
      </w:r>
      <w:r w:rsidR="00C77512">
        <w:rPr>
          <w:rFonts w:ascii="Verdana" w:hAnsi="Verdana"/>
        </w:rPr>
        <w:t xml:space="preserve">at EIOPA premises which contributed to the better understanding by </w:t>
      </w:r>
      <w:r w:rsidRPr="00C77512">
        <w:rPr>
          <w:rFonts w:ascii="Verdana" w:hAnsi="Verdana"/>
        </w:rPr>
        <w:t xml:space="preserve">stakeholders </w:t>
      </w:r>
      <w:r w:rsidR="00C77512">
        <w:rPr>
          <w:rFonts w:ascii="Verdana" w:hAnsi="Verdana"/>
        </w:rPr>
        <w:t xml:space="preserve">of the </w:t>
      </w:r>
      <w:r w:rsidRPr="00C77512">
        <w:rPr>
          <w:rFonts w:ascii="Verdana" w:hAnsi="Verdana"/>
        </w:rPr>
        <w:t xml:space="preserve">goals of the </w:t>
      </w:r>
      <w:r w:rsidR="00C77512">
        <w:rPr>
          <w:rFonts w:ascii="Verdana" w:hAnsi="Verdana"/>
        </w:rPr>
        <w:t xml:space="preserve">corrections and amendments, and that reflected in the amount and quality of the comments received. </w:t>
      </w:r>
    </w:p>
    <w:p w:rsidR="00C77512" w:rsidRDefault="00C77512" w:rsidP="00527755">
      <w:pPr>
        <w:pStyle w:val="NoSpacing"/>
        <w:jc w:val="both"/>
        <w:rPr>
          <w:rFonts w:ascii="Verdana" w:hAnsi="Verdana"/>
        </w:rPr>
      </w:pPr>
    </w:p>
    <w:p w:rsidR="00E263EF" w:rsidRDefault="00C77512" w:rsidP="00527755">
      <w:pPr>
        <w:pStyle w:val="NoSpacing"/>
        <w:jc w:val="both"/>
        <w:rPr>
          <w:rFonts w:ascii="Verdana" w:hAnsi="Verdana"/>
        </w:rPr>
      </w:pPr>
      <w:r>
        <w:rPr>
          <w:rFonts w:ascii="Verdana" w:hAnsi="Verdana"/>
        </w:rPr>
        <w:t xml:space="preserve">EIOPA </w:t>
      </w:r>
      <w:r w:rsidRPr="00C77512">
        <w:rPr>
          <w:rFonts w:ascii="Verdana" w:hAnsi="Verdana"/>
        </w:rPr>
        <w:t xml:space="preserve">acknowledges the importance of the reporting package and </w:t>
      </w:r>
      <w:r>
        <w:rPr>
          <w:rFonts w:ascii="Verdana" w:hAnsi="Verdana"/>
        </w:rPr>
        <w:t xml:space="preserve">of </w:t>
      </w:r>
      <w:r w:rsidRPr="00C77512">
        <w:rPr>
          <w:rFonts w:ascii="Verdana" w:hAnsi="Verdana"/>
        </w:rPr>
        <w:t>a continued exchange of views with</w:t>
      </w:r>
      <w:r>
        <w:rPr>
          <w:rFonts w:ascii="Verdana" w:hAnsi="Verdana"/>
        </w:rPr>
        <w:t xml:space="preserve"> stakeholders and will prepare </w:t>
      </w:r>
      <w:r w:rsidR="009A5CC8">
        <w:rPr>
          <w:rFonts w:ascii="Verdana" w:hAnsi="Verdana"/>
        </w:rPr>
        <w:t>timely</w:t>
      </w:r>
      <w:r>
        <w:rPr>
          <w:rFonts w:ascii="Verdana" w:hAnsi="Verdana"/>
        </w:rPr>
        <w:t xml:space="preserve"> the next interaction of amendments/corrections of the ITSs</w:t>
      </w:r>
      <w:r w:rsidRPr="00C77512">
        <w:rPr>
          <w:rFonts w:ascii="Verdana" w:hAnsi="Verdana"/>
        </w:rPr>
        <w:t>.</w:t>
      </w:r>
    </w:p>
    <w:p w:rsidR="00C77512" w:rsidRPr="00C77512" w:rsidRDefault="00C77512" w:rsidP="00527755">
      <w:pPr>
        <w:pStyle w:val="NoSpacing"/>
        <w:jc w:val="both"/>
        <w:rPr>
          <w:rFonts w:ascii="Verdana" w:hAnsi="Verdana"/>
        </w:rPr>
      </w:pPr>
    </w:p>
    <w:p w:rsidR="00E21DB8" w:rsidRPr="009A5CC8" w:rsidRDefault="00E21DB8" w:rsidP="00527755">
      <w:pPr>
        <w:pStyle w:val="NoSpacing"/>
        <w:jc w:val="both"/>
        <w:rPr>
          <w:rFonts w:ascii="Verdana" w:hAnsi="Verdana"/>
          <w:b/>
          <w:u w:val="single"/>
        </w:rPr>
      </w:pPr>
      <w:r w:rsidRPr="009A5CC8">
        <w:rPr>
          <w:rFonts w:ascii="Verdana" w:hAnsi="Verdana"/>
          <w:b/>
          <w:u w:val="single"/>
        </w:rPr>
        <w:t>Implementation efforts</w:t>
      </w:r>
    </w:p>
    <w:p w:rsidR="00527755" w:rsidRPr="00C77512" w:rsidRDefault="00527755" w:rsidP="00527755">
      <w:pPr>
        <w:pStyle w:val="NoSpacing"/>
        <w:jc w:val="both"/>
        <w:rPr>
          <w:rFonts w:ascii="Verdana" w:hAnsi="Verdana"/>
          <w:color w:val="FF0000"/>
        </w:rPr>
      </w:pPr>
    </w:p>
    <w:p w:rsidR="00142285" w:rsidRPr="00C77512" w:rsidRDefault="00603D28" w:rsidP="00142285">
      <w:pPr>
        <w:pStyle w:val="NoSpacing"/>
        <w:jc w:val="both"/>
        <w:rPr>
          <w:rFonts w:ascii="Verdana" w:hAnsi="Verdana"/>
        </w:rPr>
      </w:pPr>
      <w:r w:rsidRPr="00C77512">
        <w:rPr>
          <w:rFonts w:ascii="Verdana" w:hAnsi="Verdana"/>
        </w:rPr>
        <w:t xml:space="preserve">Following the </w:t>
      </w:r>
      <w:r w:rsidR="00142285">
        <w:rPr>
          <w:rFonts w:ascii="Verdana" w:hAnsi="Verdana"/>
        </w:rPr>
        <w:t xml:space="preserve">consideration of the comments received, </w:t>
      </w:r>
      <w:r w:rsidR="00E21DB8" w:rsidRPr="00C77512">
        <w:rPr>
          <w:rFonts w:ascii="Verdana" w:hAnsi="Verdana"/>
        </w:rPr>
        <w:t xml:space="preserve">EIOPA has published the </w:t>
      </w:r>
      <w:r w:rsidR="00142285">
        <w:rPr>
          <w:rFonts w:ascii="Verdana" w:hAnsi="Verdana"/>
        </w:rPr>
        <w:t xml:space="preserve">Public Working Draft (PWD) of taxonomy version 2.2.0. </w:t>
      </w:r>
      <w:proofErr w:type="gramStart"/>
      <w:r w:rsidR="00142285">
        <w:rPr>
          <w:rFonts w:ascii="Verdana" w:hAnsi="Verdana"/>
        </w:rPr>
        <w:t>at</w:t>
      </w:r>
      <w:proofErr w:type="gramEnd"/>
      <w:r w:rsidR="00142285">
        <w:rPr>
          <w:rFonts w:ascii="Verdana" w:hAnsi="Verdana"/>
        </w:rPr>
        <w:t xml:space="preserve"> its website on the 1 </w:t>
      </w:r>
      <w:r w:rsidR="00142285">
        <w:rPr>
          <w:rFonts w:ascii="Verdana" w:hAnsi="Verdana"/>
        </w:rPr>
        <w:lastRenderedPageBreak/>
        <w:t xml:space="preserve">June, together with the business packaged. This package was </w:t>
      </w:r>
      <w:r w:rsidR="00142285" w:rsidRPr="00142285">
        <w:rPr>
          <w:rFonts w:ascii="Verdana" w:hAnsi="Verdana"/>
        </w:rPr>
        <w:t>a draft and</w:t>
      </w:r>
      <w:r w:rsidR="00142285">
        <w:rPr>
          <w:rFonts w:ascii="Verdana" w:hAnsi="Verdana"/>
        </w:rPr>
        <w:t xml:space="preserve"> published </w:t>
      </w:r>
      <w:r w:rsidR="00142285" w:rsidRPr="00142285">
        <w:rPr>
          <w:rFonts w:ascii="Verdana" w:hAnsi="Verdana"/>
        </w:rPr>
        <w:t xml:space="preserve">only for the purposes of supporting the PWD publication. </w:t>
      </w:r>
    </w:p>
    <w:p w:rsidR="00E21DB8" w:rsidRDefault="00E21DB8" w:rsidP="00142285">
      <w:pPr>
        <w:pStyle w:val="NoSpacing"/>
        <w:jc w:val="both"/>
        <w:rPr>
          <w:rFonts w:ascii="Verdana" w:hAnsi="Verdana"/>
        </w:rPr>
      </w:pPr>
    </w:p>
    <w:p w:rsidR="00142285" w:rsidRPr="00C77512" w:rsidRDefault="00142285" w:rsidP="00142285">
      <w:pPr>
        <w:pStyle w:val="NoSpacing"/>
        <w:jc w:val="both"/>
        <w:rPr>
          <w:rFonts w:ascii="Verdana" w:hAnsi="Verdana"/>
        </w:rPr>
      </w:pPr>
      <w:r>
        <w:rPr>
          <w:rFonts w:ascii="Verdana" w:hAnsi="Verdana"/>
        </w:rPr>
        <w:t>The Final Taxonomy version is published together with the final package of the ITSs and relevant Guidelines amendments on 17 July, as foreseen in “</w:t>
      </w:r>
      <w:r w:rsidRPr="00142285">
        <w:rPr>
          <w:rFonts w:ascii="Verdana" w:hAnsi="Verdana"/>
        </w:rPr>
        <w:t>Governance of Taxonomy</w:t>
      </w:r>
      <w:r>
        <w:rPr>
          <w:rFonts w:ascii="Verdana" w:hAnsi="Verdana"/>
        </w:rPr>
        <w:t xml:space="preserve"> - </w:t>
      </w:r>
      <w:r w:rsidRPr="00142285">
        <w:rPr>
          <w:rFonts w:ascii="Verdana" w:hAnsi="Verdana"/>
        </w:rPr>
        <w:t>Releases and Schedule 2017</w:t>
      </w:r>
      <w:r>
        <w:rPr>
          <w:rFonts w:ascii="Verdana" w:hAnsi="Verdana"/>
        </w:rPr>
        <w:t>”.</w:t>
      </w:r>
    </w:p>
    <w:p w:rsidR="00527755" w:rsidRPr="00C77512" w:rsidRDefault="00527755" w:rsidP="00527755">
      <w:pPr>
        <w:pStyle w:val="NoSpacing"/>
        <w:jc w:val="both"/>
        <w:rPr>
          <w:rFonts w:ascii="Verdana" w:hAnsi="Verdana"/>
          <w:color w:val="FF0000"/>
        </w:rPr>
      </w:pPr>
    </w:p>
    <w:p w:rsidR="00E21DB8" w:rsidRPr="00C458CA" w:rsidRDefault="00C458CA" w:rsidP="00527755">
      <w:pPr>
        <w:pStyle w:val="NoSpacing"/>
        <w:jc w:val="both"/>
        <w:rPr>
          <w:rFonts w:ascii="Verdana" w:hAnsi="Verdana"/>
          <w:b/>
          <w:u w:val="single"/>
        </w:rPr>
      </w:pPr>
      <w:r>
        <w:rPr>
          <w:rFonts w:ascii="Verdana" w:hAnsi="Verdana"/>
          <w:b/>
          <w:u w:val="single"/>
        </w:rPr>
        <w:t>Main c</w:t>
      </w:r>
      <w:r w:rsidR="00E21DB8" w:rsidRPr="00C458CA">
        <w:rPr>
          <w:rFonts w:ascii="Verdana" w:hAnsi="Verdana"/>
          <w:b/>
          <w:u w:val="single"/>
        </w:rPr>
        <w:t>omments</w:t>
      </w:r>
      <w:r w:rsidR="00603D28" w:rsidRPr="00C458CA">
        <w:rPr>
          <w:rFonts w:ascii="Verdana" w:hAnsi="Verdana"/>
          <w:b/>
          <w:u w:val="single"/>
        </w:rPr>
        <w:t xml:space="preserve"> by stakeholders</w:t>
      </w:r>
    </w:p>
    <w:p w:rsidR="00527755" w:rsidRPr="00C77512" w:rsidRDefault="00527755" w:rsidP="00527755">
      <w:pPr>
        <w:pStyle w:val="NoSpacing"/>
        <w:jc w:val="both"/>
        <w:rPr>
          <w:rFonts w:ascii="Verdana" w:hAnsi="Verdana"/>
          <w:b/>
        </w:rPr>
      </w:pPr>
    </w:p>
    <w:p w:rsidR="00C458CA" w:rsidRPr="00C458CA" w:rsidRDefault="00C458CA" w:rsidP="00C458CA">
      <w:pPr>
        <w:pStyle w:val="NoSpacing"/>
        <w:jc w:val="both"/>
        <w:rPr>
          <w:rFonts w:ascii="Verdana" w:hAnsi="Verdana"/>
        </w:rPr>
      </w:pPr>
      <w:r w:rsidRPr="00C458CA">
        <w:rPr>
          <w:rFonts w:ascii="Verdana" w:hAnsi="Verdana"/>
        </w:rPr>
        <w:t xml:space="preserve">The amendments and corrections were generally well received by stakeholders and additional corrections were identified by stakeholders and incorporated in the final version. </w:t>
      </w:r>
      <w:r w:rsidR="002E3CDB">
        <w:rPr>
          <w:rFonts w:ascii="Verdana" w:hAnsi="Verdana"/>
        </w:rPr>
        <w:t xml:space="preserve">In Annex 1 a list of the additional amendments introduced (new amendments, not including re-drafts) after the consultation is made available.  </w:t>
      </w:r>
    </w:p>
    <w:p w:rsidR="00C458CA" w:rsidRPr="00C458CA" w:rsidRDefault="00C458CA" w:rsidP="00C458CA">
      <w:pPr>
        <w:pStyle w:val="NoSpacing"/>
        <w:jc w:val="both"/>
        <w:rPr>
          <w:rFonts w:ascii="Verdana" w:hAnsi="Verdana"/>
        </w:rPr>
      </w:pPr>
    </w:p>
    <w:p w:rsidR="00C458CA" w:rsidRPr="00C458CA" w:rsidRDefault="00C458CA" w:rsidP="00C458CA">
      <w:pPr>
        <w:pStyle w:val="NoSpacing"/>
        <w:jc w:val="both"/>
        <w:rPr>
          <w:rFonts w:ascii="Verdana" w:hAnsi="Verdana"/>
        </w:rPr>
      </w:pPr>
      <w:r w:rsidRPr="00C458CA">
        <w:rPr>
          <w:rFonts w:ascii="Verdana" w:hAnsi="Verdana"/>
        </w:rPr>
        <w:t>However the following areas deserve specific analysis.</w:t>
      </w:r>
    </w:p>
    <w:p w:rsidR="00C458CA" w:rsidRPr="00C458CA" w:rsidRDefault="00C458CA" w:rsidP="00C458CA">
      <w:pPr>
        <w:pStyle w:val="NoSpacing"/>
        <w:jc w:val="both"/>
        <w:rPr>
          <w:rFonts w:ascii="Verdana" w:hAnsi="Verdana"/>
        </w:rPr>
      </w:pPr>
    </w:p>
    <w:p w:rsidR="00291EBA" w:rsidRPr="00C458CA" w:rsidRDefault="00172608" w:rsidP="00C458CA">
      <w:pPr>
        <w:pStyle w:val="NoSpacing"/>
        <w:jc w:val="both"/>
        <w:rPr>
          <w:rFonts w:ascii="Verdana" w:hAnsi="Verdana"/>
          <w:b/>
        </w:rPr>
      </w:pPr>
      <w:r w:rsidRPr="00C458CA">
        <w:rPr>
          <w:rFonts w:ascii="Verdana" w:hAnsi="Verdana"/>
          <w:b/>
        </w:rPr>
        <w:t>Nominated ECAI</w:t>
      </w:r>
      <w:r w:rsidR="00291EBA" w:rsidRPr="00C458CA">
        <w:rPr>
          <w:rFonts w:ascii="Verdana" w:hAnsi="Verdana"/>
          <w:b/>
        </w:rPr>
        <w:t xml:space="preserve"> </w:t>
      </w:r>
      <w:r w:rsidRPr="00C458CA">
        <w:rPr>
          <w:rFonts w:ascii="Verdana" w:hAnsi="Verdana"/>
          <w:b/>
        </w:rPr>
        <w:t>–</w:t>
      </w:r>
      <w:r w:rsidR="00291EBA" w:rsidRPr="00C458CA">
        <w:rPr>
          <w:rFonts w:ascii="Verdana" w:hAnsi="Verdana"/>
          <w:b/>
        </w:rPr>
        <w:t xml:space="preserve"> </w:t>
      </w:r>
      <w:r w:rsidRPr="00C458CA">
        <w:rPr>
          <w:rFonts w:ascii="Verdana" w:hAnsi="Verdana"/>
          <w:b/>
        </w:rPr>
        <w:t>S.06.02, S.08.01, S.30.02, S.30.04, S.31.01, S.31.02 and S.37.01</w:t>
      </w:r>
    </w:p>
    <w:p w:rsidR="00291EBA" w:rsidRPr="00C77512" w:rsidRDefault="00291EBA" w:rsidP="00291EBA">
      <w:pPr>
        <w:pStyle w:val="NoSpacing"/>
        <w:jc w:val="both"/>
        <w:rPr>
          <w:rFonts w:ascii="Verdana" w:hAnsi="Verdana"/>
        </w:rPr>
      </w:pPr>
    </w:p>
    <w:p w:rsidR="00291EBA" w:rsidRPr="00C77512" w:rsidRDefault="00C458CA" w:rsidP="00172608">
      <w:pPr>
        <w:pStyle w:val="NoSpacing"/>
        <w:numPr>
          <w:ilvl w:val="0"/>
          <w:numId w:val="3"/>
        </w:numPr>
        <w:jc w:val="both"/>
        <w:rPr>
          <w:rFonts w:ascii="Verdana" w:hAnsi="Verdana"/>
        </w:rPr>
      </w:pPr>
      <w:r>
        <w:rPr>
          <w:rFonts w:ascii="Verdana" w:hAnsi="Verdana"/>
        </w:rPr>
        <w:t>Most s</w:t>
      </w:r>
      <w:r w:rsidR="00291EBA" w:rsidRPr="00C77512">
        <w:rPr>
          <w:rFonts w:ascii="Verdana" w:hAnsi="Verdana"/>
        </w:rPr>
        <w:t xml:space="preserve">takeholders </w:t>
      </w:r>
      <w:r>
        <w:rPr>
          <w:rFonts w:ascii="Verdana" w:hAnsi="Verdana"/>
        </w:rPr>
        <w:t xml:space="preserve">agreed to include a closed list to report the ECAI. However, a stakeholder would have preferred that the </w:t>
      </w:r>
      <w:r w:rsidR="00172608" w:rsidRPr="00C77512">
        <w:rPr>
          <w:rFonts w:ascii="Verdana" w:hAnsi="Verdana"/>
        </w:rPr>
        <w:t xml:space="preserve">list </w:t>
      </w:r>
      <w:r>
        <w:rPr>
          <w:rFonts w:ascii="Verdana" w:hAnsi="Verdana"/>
        </w:rPr>
        <w:t xml:space="preserve">also included the </w:t>
      </w:r>
      <w:r w:rsidR="00172608" w:rsidRPr="00C77512">
        <w:rPr>
          <w:rFonts w:ascii="Verdana" w:hAnsi="Verdana"/>
        </w:rPr>
        <w:t>subsidiaries from parent ECAIs</w:t>
      </w:r>
      <w:r>
        <w:rPr>
          <w:rFonts w:ascii="Verdana" w:hAnsi="Verdana"/>
        </w:rPr>
        <w:t>;</w:t>
      </w:r>
      <w:r w:rsidR="00291EBA" w:rsidRPr="00C77512">
        <w:rPr>
          <w:rFonts w:ascii="Verdana" w:hAnsi="Verdana"/>
        </w:rPr>
        <w:t xml:space="preserve"> </w:t>
      </w:r>
    </w:p>
    <w:p w:rsidR="00291EBA" w:rsidRPr="00C77512" w:rsidRDefault="00291EBA" w:rsidP="00291EBA">
      <w:pPr>
        <w:pStyle w:val="NoSpacing"/>
        <w:jc w:val="both"/>
        <w:rPr>
          <w:rFonts w:ascii="Verdana" w:hAnsi="Verdana"/>
          <w:color w:val="FF0000"/>
        </w:rPr>
      </w:pPr>
    </w:p>
    <w:p w:rsidR="00291EBA" w:rsidRPr="00C77512" w:rsidRDefault="00291EBA" w:rsidP="00172608">
      <w:pPr>
        <w:pStyle w:val="NoSpacing"/>
        <w:numPr>
          <w:ilvl w:val="0"/>
          <w:numId w:val="3"/>
        </w:numPr>
        <w:jc w:val="both"/>
        <w:rPr>
          <w:rFonts w:ascii="Verdana" w:hAnsi="Verdana"/>
        </w:rPr>
      </w:pPr>
      <w:r w:rsidRPr="00C77512">
        <w:rPr>
          <w:rFonts w:ascii="Verdana" w:hAnsi="Verdana"/>
        </w:rPr>
        <w:t xml:space="preserve">EIOPA </w:t>
      </w:r>
      <w:r w:rsidR="00C458CA">
        <w:rPr>
          <w:rFonts w:ascii="Verdana" w:hAnsi="Verdana"/>
        </w:rPr>
        <w:t xml:space="preserve">understands the argument, but </w:t>
      </w:r>
      <w:r w:rsidRPr="00C77512">
        <w:rPr>
          <w:rFonts w:ascii="Verdana" w:hAnsi="Verdana"/>
        </w:rPr>
        <w:t xml:space="preserve">would like to highlight that the </w:t>
      </w:r>
      <w:r w:rsidR="00172608" w:rsidRPr="00C77512">
        <w:rPr>
          <w:rFonts w:ascii="Verdana" w:hAnsi="Verdana"/>
        </w:rPr>
        <w:t xml:space="preserve">proposed closed list reflects a simplification </w:t>
      </w:r>
      <w:r w:rsidR="00C458CA">
        <w:rPr>
          <w:rFonts w:ascii="Verdana" w:hAnsi="Verdana"/>
        </w:rPr>
        <w:t xml:space="preserve">in the reporting package </w:t>
      </w:r>
      <w:r w:rsidR="00172608" w:rsidRPr="00C77512">
        <w:rPr>
          <w:rFonts w:ascii="Verdana" w:hAnsi="Verdana"/>
        </w:rPr>
        <w:t xml:space="preserve">to allow the use of a closed list with indication of the LEI code. This </w:t>
      </w:r>
      <w:r w:rsidR="00C458CA">
        <w:rPr>
          <w:rFonts w:ascii="Verdana" w:hAnsi="Verdana"/>
        </w:rPr>
        <w:t>simplification contributes to</w:t>
      </w:r>
      <w:r w:rsidR="00172608" w:rsidRPr="00C77512">
        <w:rPr>
          <w:rFonts w:ascii="Verdana" w:hAnsi="Verdana"/>
        </w:rPr>
        <w:t xml:space="preserve"> data standardisation</w:t>
      </w:r>
      <w:r w:rsidR="00C458CA">
        <w:rPr>
          <w:rFonts w:ascii="Verdana" w:hAnsi="Verdana"/>
        </w:rPr>
        <w:t xml:space="preserve"> and better use of data reported</w:t>
      </w:r>
      <w:r w:rsidR="00172608" w:rsidRPr="00C77512">
        <w:rPr>
          <w:rFonts w:ascii="Verdana" w:hAnsi="Verdana"/>
        </w:rPr>
        <w:t xml:space="preserve">. </w:t>
      </w:r>
      <w:r w:rsidR="00C458CA">
        <w:rPr>
          <w:rFonts w:ascii="Verdana" w:hAnsi="Verdana"/>
        </w:rPr>
        <w:t>To include the subsidiaries it could no longer be a closed list and the o</w:t>
      </w:r>
      <w:r w:rsidR="00172608" w:rsidRPr="00C77512">
        <w:rPr>
          <w:rFonts w:ascii="Verdana" w:hAnsi="Verdana"/>
        </w:rPr>
        <w:t xml:space="preserve">ption </w:t>
      </w:r>
      <w:r w:rsidR="00C458CA">
        <w:rPr>
          <w:rFonts w:ascii="Verdana" w:hAnsi="Verdana"/>
        </w:rPr>
        <w:t xml:space="preserve">would be </w:t>
      </w:r>
      <w:r w:rsidR="00172608" w:rsidRPr="00C77512">
        <w:rPr>
          <w:rFonts w:ascii="Verdana" w:hAnsi="Verdana"/>
        </w:rPr>
        <w:t>to request the LEI code</w:t>
      </w:r>
      <w:r w:rsidR="00C458CA">
        <w:rPr>
          <w:rFonts w:ascii="Verdana" w:hAnsi="Verdana"/>
        </w:rPr>
        <w:t>, which would be more burdensome</w:t>
      </w:r>
      <w:r w:rsidR="003A2333">
        <w:rPr>
          <w:rFonts w:ascii="Verdana" w:hAnsi="Verdana"/>
        </w:rPr>
        <w:t>. In addition</w:t>
      </w:r>
      <w:r w:rsidR="00C458CA">
        <w:rPr>
          <w:rFonts w:ascii="Verdana" w:hAnsi="Verdana"/>
        </w:rPr>
        <w:t xml:space="preserve"> </w:t>
      </w:r>
      <w:r w:rsidR="003A2333">
        <w:rPr>
          <w:rFonts w:ascii="Verdana" w:hAnsi="Verdana"/>
        </w:rPr>
        <w:t>there was no</w:t>
      </w:r>
      <w:r w:rsidR="00C458CA">
        <w:rPr>
          <w:rFonts w:ascii="Verdana" w:hAnsi="Verdana"/>
        </w:rPr>
        <w:t xml:space="preserve"> guarantee that all subsidiaries will have an available LEI code </w:t>
      </w:r>
      <w:r w:rsidR="00172608" w:rsidRPr="00C77512">
        <w:rPr>
          <w:rFonts w:ascii="Verdana" w:hAnsi="Verdana"/>
        </w:rPr>
        <w:t>which would damage the standardisation without</w:t>
      </w:r>
      <w:r w:rsidR="00283032" w:rsidRPr="00C77512">
        <w:rPr>
          <w:rFonts w:ascii="Verdana" w:hAnsi="Verdana"/>
        </w:rPr>
        <w:t xml:space="preserve"> value added to the supervision</w:t>
      </w:r>
      <w:r w:rsidRPr="00C77512">
        <w:rPr>
          <w:rFonts w:ascii="Verdana" w:hAnsi="Verdana"/>
        </w:rPr>
        <w:t>.</w:t>
      </w:r>
    </w:p>
    <w:p w:rsidR="00A46850" w:rsidRPr="00C77512" w:rsidRDefault="00A46850" w:rsidP="00A46850">
      <w:pPr>
        <w:pStyle w:val="NoSpacing"/>
        <w:jc w:val="both"/>
        <w:rPr>
          <w:rFonts w:ascii="Verdana" w:hAnsi="Verdana"/>
        </w:rPr>
      </w:pPr>
    </w:p>
    <w:p w:rsidR="00A46850" w:rsidRPr="008F0542" w:rsidRDefault="00A46850" w:rsidP="00845820">
      <w:pPr>
        <w:pStyle w:val="NoSpacing"/>
        <w:jc w:val="both"/>
        <w:rPr>
          <w:rFonts w:ascii="Verdana" w:hAnsi="Verdana"/>
          <w:b/>
        </w:rPr>
      </w:pPr>
      <w:r w:rsidRPr="008F0542">
        <w:rPr>
          <w:rFonts w:ascii="Verdana" w:hAnsi="Verdana"/>
          <w:b/>
        </w:rPr>
        <w:t>List of assets - S.06.02</w:t>
      </w:r>
      <w:r w:rsidR="002E3CDB" w:rsidRPr="008F0542">
        <w:rPr>
          <w:rFonts w:ascii="Verdana" w:hAnsi="Verdana"/>
          <w:b/>
        </w:rPr>
        <w:t xml:space="preserve">, S.08.01 </w:t>
      </w:r>
      <w:r w:rsidRPr="008F0542">
        <w:rPr>
          <w:rFonts w:ascii="Verdana" w:hAnsi="Verdana"/>
          <w:b/>
        </w:rPr>
        <w:t xml:space="preserve">– External rating </w:t>
      </w:r>
      <w:r w:rsidR="002E3CDB" w:rsidRPr="008F0542">
        <w:rPr>
          <w:rFonts w:ascii="Verdana" w:hAnsi="Verdana"/>
          <w:b/>
        </w:rPr>
        <w:t xml:space="preserve">and Credit Quality Step </w:t>
      </w:r>
    </w:p>
    <w:p w:rsidR="00A46850" w:rsidRPr="00845820" w:rsidRDefault="00A46850" w:rsidP="00A46850">
      <w:pPr>
        <w:pStyle w:val="NoSpacing"/>
        <w:jc w:val="both"/>
        <w:rPr>
          <w:rFonts w:ascii="Verdana" w:hAnsi="Verdana"/>
          <w:highlight w:val="yellow"/>
        </w:rPr>
      </w:pPr>
    </w:p>
    <w:p w:rsidR="00B1747F" w:rsidRPr="008F0542" w:rsidRDefault="00B1747F" w:rsidP="008F0542">
      <w:pPr>
        <w:pStyle w:val="NoSpacing"/>
        <w:numPr>
          <w:ilvl w:val="0"/>
          <w:numId w:val="13"/>
        </w:numPr>
        <w:jc w:val="both"/>
        <w:rPr>
          <w:rFonts w:ascii="Verdana" w:hAnsi="Verdana"/>
        </w:rPr>
      </w:pPr>
      <w:r w:rsidRPr="008F0542">
        <w:rPr>
          <w:rFonts w:ascii="Verdana" w:hAnsi="Verdana"/>
        </w:rPr>
        <w:t>Sta</w:t>
      </w:r>
      <w:r w:rsidR="00A46850" w:rsidRPr="008F0542">
        <w:rPr>
          <w:rFonts w:ascii="Verdana" w:hAnsi="Verdana"/>
        </w:rPr>
        <w:t>keholder</w:t>
      </w:r>
      <w:r w:rsidRPr="008F0542">
        <w:rPr>
          <w:rFonts w:ascii="Verdana" w:hAnsi="Verdana"/>
        </w:rPr>
        <w:t>s</w:t>
      </w:r>
      <w:r w:rsidR="00A46850" w:rsidRPr="008F0542">
        <w:rPr>
          <w:rFonts w:ascii="Verdana" w:hAnsi="Verdana"/>
        </w:rPr>
        <w:t xml:space="preserve"> </w:t>
      </w:r>
      <w:r w:rsidRPr="008F0542">
        <w:rPr>
          <w:rFonts w:ascii="Verdana" w:hAnsi="Verdana"/>
        </w:rPr>
        <w:t xml:space="preserve">required additional explanations on the approach taken as it appeared to be a conflict between the guidance for external rating and the credit quality steps. </w:t>
      </w:r>
    </w:p>
    <w:p w:rsidR="00B1747F" w:rsidRPr="008F0542" w:rsidRDefault="00B1747F" w:rsidP="008F0542">
      <w:pPr>
        <w:pStyle w:val="NoSpacing"/>
        <w:ind w:left="750"/>
        <w:jc w:val="both"/>
        <w:rPr>
          <w:rFonts w:ascii="Verdana" w:hAnsi="Verdana"/>
        </w:rPr>
      </w:pPr>
    </w:p>
    <w:p w:rsidR="00B1747F" w:rsidRPr="008F0542" w:rsidRDefault="00B1747F" w:rsidP="008F0542">
      <w:pPr>
        <w:pStyle w:val="NoSpacing"/>
        <w:numPr>
          <w:ilvl w:val="0"/>
          <w:numId w:val="13"/>
        </w:numPr>
        <w:jc w:val="both"/>
        <w:rPr>
          <w:rFonts w:ascii="Verdana" w:hAnsi="Verdana"/>
        </w:rPr>
      </w:pPr>
      <w:r w:rsidRPr="008F0542">
        <w:rPr>
          <w:rFonts w:ascii="Verdana" w:hAnsi="Verdana"/>
        </w:rPr>
        <w:t>Stakeholders required a clarification if the External Rating should only refer to the issue ratings or if the instructions should be updated to cover potential instances where issuer ratings (or other methods) are used to derive a credit quality step?</w:t>
      </w:r>
    </w:p>
    <w:p w:rsidR="00B1747F" w:rsidRPr="008F0542" w:rsidRDefault="00B1747F" w:rsidP="008F0542">
      <w:pPr>
        <w:pStyle w:val="NoSpacing"/>
        <w:ind w:left="750"/>
        <w:jc w:val="both"/>
        <w:rPr>
          <w:rFonts w:ascii="Verdana" w:hAnsi="Verdana"/>
        </w:rPr>
      </w:pPr>
    </w:p>
    <w:p w:rsidR="00B1747F" w:rsidRPr="008F0542" w:rsidRDefault="00B1747F" w:rsidP="008F0542">
      <w:pPr>
        <w:pStyle w:val="NoSpacing"/>
        <w:numPr>
          <w:ilvl w:val="0"/>
          <w:numId w:val="3"/>
        </w:numPr>
        <w:jc w:val="both"/>
        <w:rPr>
          <w:rFonts w:ascii="Verdana" w:hAnsi="Verdana"/>
        </w:rPr>
      </w:pPr>
      <w:r w:rsidRPr="008F0542">
        <w:rPr>
          <w:rFonts w:ascii="Verdana" w:hAnsi="Verdana"/>
        </w:rPr>
        <w:t>EIOPA clarified the instructions to make clear the following:</w:t>
      </w:r>
    </w:p>
    <w:p w:rsidR="00B1747F" w:rsidRPr="008F0542" w:rsidRDefault="00B1747F" w:rsidP="00B1747F">
      <w:pPr>
        <w:pStyle w:val="NoSpacing"/>
        <w:numPr>
          <w:ilvl w:val="1"/>
          <w:numId w:val="9"/>
        </w:numPr>
        <w:jc w:val="both"/>
        <w:rPr>
          <w:rFonts w:ascii="Verdana" w:hAnsi="Verdana"/>
        </w:rPr>
      </w:pPr>
      <w:r w:rsidRPr="008F0542">
        <w:rPr>
          <w:rFonts w:ascii="Verdana" w:hAnsi="Verdana"/>
        </w:rPr>
        <w:t>External rating refers to issue rating (and if there is no issue rating the cell should be left blank);</w:t>
      </w:r>
    </w:p>
    <w:p w:rsidR="008F0542" w:rsidRPr="008F0542" w:rsidRDefault="00B1747F" w:rsidP="00B1747F">
      <w:pPr>
        <w:pStyle w:val="NoSpacing"/>
        <w:numPr>
          <w:ilvl w:val="1"/>
          <w:numId w:val="9"/>
        </w:numPr>
        <w:jc w:val="both"/>
        <w:rPr>
          <w:rFonts w:ascii="Verdana" w:hAnsi="Verdana"/>
        </w:rPr>
      </w:pPr>
      <w:r w:rsidRPr="008F0542">
        <w:rPr>
          <w:rFonts w:ascii="Verdana" w:hAnsi="Verdana"/>
        </w:rPr>
        <w:t xml:space="preserve">The </w:t>
      </w:r>
      <w:r w:rsidR="008F0542" w:rsidRPr="008F0542">
        <w:rPr>
          <w:rFonts w:ascii="Verdana" w:hAnsi="Verdana"/>
        </w:rPr>
        <w:t>reporting</w:t>
      </w:r>
      <w:r w:rsidRPr="008F0542">
        <w:rPr>
          <w:rFonts w:ascii="Verdana" w:hAnsi="Verdana"/>
        </w:rPr>
        <w:t xml:space="preserve"> of CQS is independent from the external </w:t>
      </w:r>
      <w:r w:rsidR="008F0542" w:rsidRPr="008F0542">
        <w:rPr>
          <w:rFonts w:ascii="Verdana" w:hAnsi="Verdana"/>
        </w:rPr>
        <w:t>rating</w:t>
      </w:r>
      <w:r w:rsidRPr="008F0542">
        <w:rPr>
          <w:rFonts w:ascii="Verdana" w:hAnsi="Verdana"/>
        </w:rPr>
        <w:t xml:space="preserve"> and should be reported regarding the assets for which a credit quality step needs to be attributed for the purpose of SCR calculation.</w:t>
      </w:r>
      <w:r w:rsidR="008F0542" w:rsidRPr="008F0542">
        <w:rPr>
          <w:rFonts w:ascii="Verdana" w:hAnsi="Verdana"/>
        </w:rPr>
        <w:t xml:space="preserve"> The CQS should be</w:t>
      </w:r>
      <w:r w:rsidRPr="008F0542">
        <w:rPr>
          <w:rFonts w:ascii="Verdana" w:hAnsi="Verdana"/>
        </w:rPr>
        <w:t xml:space="preserve"> attributed to the asset, as defined by Article </w:t>
      </w:r>
      <w:proofErr w:type="gramStart"/>
      <w:r w:rsidRPr="008F0542">
        <w:rPr>
          <w:rFonts w:ascii="Verdana" w:hAnsi="Verdana"/>
        </w:rPr>
        <w:lastRenderedPageBreak/>
        <w:t>109a(</w:t>
      </w:r>
      <w:proofErr w:type="gramEnd"/>
      <w:r w:rsidRPr="008F0542">
        <w:rPr>
          <w:rFonts w:ascii="Verdana" w:hAnsi="Verdana"/>
        </w:rPr>
        <w:t>1) of Directive 2009/138/EC</w:t>
      </w:r>
      <w:r w:rsidR="008F0542" w:rsidRPr="008F0542">
        <w:rPr>
          <w:rFonts w:ascii="Verdana" w:hAnsi="Verdana"/>
        </w:rPr>
        <w:t xml:space="preserve"> (one sentence deleted from external rating instructions)</w:t>
      </w:r>
      <w:r w:rsidR="008F0542">
        <w:rPr>
          <w:rFonts w:ascii="Verdana" w:hAnsi="Verdana"/>
        </w:rPr>
        <w:t>.</w:t>
      </w:r>
    </w:p>
    <w:p w:rsidR="00283032" w:rsidRPr="008F0542" w:rsidRDefault="00283032" w:rsidP="00A46850">
      <w:pPr>
        <w:pStyle w:val="NoSpacing"/>
        <w:jc w:val="both"/>
        <w:rPr>
          <w:rFonts w:ascii="Verdana" w:hAnsi="Verdana"/>
        </w:rPr>
      </w:pPr>
    </w:p>
    <w:p w:rsidR="00283032" w:rsidRPr="00845820" w:rsidRDefault="00283032" w:rsidP="00845820">
      <w:pPr>
        <w:pStyle w:val="NoSpacing"/>
        <w:jc w:val="both"/>
        <w:rPr>
          <w:rFonts w:ascii="Verdana" w:hAnsi="Verdana"/>
          <w:b/>
        </w:rPr>
      </w:pPr>
      <w:r w:rsidRPr="008F0542">
        <w:rPr>
          <w:rFonts w:ascii="Verdana" w:hAnsi="Verdana"/>
          <w:b/>
        </w:rPr>
        <w:t>Collective investment undertakings – look–through approach - S.06.03</w:t>
      </w:r>
    </w:p>
    <w:p w:rsidR="00283032" w:rsidRPr="00C77512" w:rsidRDefault="00283032" w:rsidP="00283032">
      <w:pPr>
        <w:pStyle w:val="NoSpacing"/>
        <w:jc w:val="both"/>
        <w:rPr>
          <w:rFonts w:ascii="Verdana" w:hAnsi="Verdana"/>
        </w:rPr>
      </w:pPr>
    </w:p>
    <w:p w:rsidR="00E22B79" w:rsidRPr="00C77512" w:rsidRDefault="00283032" w:rsidP="00283032">
      <w:pPr>
        <w:pStyle w:val="NoSpacing"/>
        <w:numPr>
          <w:ilvl w:val="0"/>
          <w:numId w:val="2"/>
        </w:numPr>
        <w:jc w:val="both"/>
        <w:rPr>
          <w:rFonts w:ascii="Verdana" w:hAnsi="Verdana"/>
        </w:rPr>
      </w:pPr>
      <w:r w:rsidRPr="00C77512">
        <w:rPr>
          <w:rFonts w:ascii="Verdana" w:hAnsi="Verdana"/>
        </w:rPr>
        <w:t xml:space="preserve">Stakeholders </w:t>
      </w:r>
      <w:r w:rsidR="00845820">
        <w:rPr>
          <w:rFonts w:ascii="Verdana" w:hAnsi="Verdana"/>
        </w:rPr>
        <w:t xml:space="preserve">generally </w:t>
      </w:r>
      <w:r w:rsidRPr="00C77512">
        <w:rPr>
          <w:rFonts w:ascii="Verdana" w:hAnsi="Verdana"/>
        </w:rPr>
        <w:t>support</w:t>
      </w:r>
      <w:r w:rsidR="00845820">
        <w:rPr>
          <w:rFonts w:ascii="Verdana" w:hAnsi="Verdana"/>
        </w:rPr>
        <w:t>ed</w:t>
      </w:r>
      <w:r w:rsidRPr="00C77512">
        <w:rPr>
          <w:rFonts w:ascii="Verdana" w:hAnsi="Verdana"/>
        </w:rPr>
        <w:t xml:space="preserve"> </w:t>
      </w:r>
      <w:r w:rsidR="00845820">
        <w:rPr>
          <w:rFonts w:ascii="Verdana" w:hAnsi="Verdana"/>
        </w:rPr>
        <w:t>EIOPA</w:t>
      </w:r>
      <w:r w:rsidRPr="00C77512">
        <w:rPr>
          <w:rFonts w:ascii="Verdana" w:hAnsi="Verdana"/>
        </w:rPr>
        <w:t xml:space="preserve"> intentions behind the amendments of S.06.03</w:t>
      </w:r>
      <w:r w:rsidR="00845820">
        <w:rPr>
          <w:rFonts w:ascii="Verdana" w:hAnsi="Verdana"/>
        </w:rPr>
        <w:t>,</w:t>
      </w:r>
      <w:r w:rsidRPr="00C77512">
        <w:rPr>
          <w:rFonts w:ascii="Verdana" w:hAnsi="Verdana"/>
        </w:rPr>
        <w:t xml:space="preserve"> </w:t>
      </w:r>
      <w:r w:rsidR="00845820">
        <w:rPr>
          <w:rFonts w:ascii="Verdana" w:hAnsi="Verdana"/>
        </w:rPr>
        <w:t>which</w:t>
      </w:r>
      <w:r w:rsidRPr="00C77512">
        <w:rPr>
          <w:rFonts w:ascii="Verdana" w:hAnsi="Verdana"/>
        </w:rPr>
        <w:t xml:space="preserve"> allow</w:t>
      </w:r>
      <w:r w:rsidR="00845820">
        <w:rPr>
          <w:rFonts w:ascii="Verdana" w:hAnsi="Verdana"/>
        </w:rPr>
        <w:t>ed</w:t>
      </w:r>
      <w:r w:rsidRPr="00C77512">
        <w:rPr>
          <w:rFonts w:ascii="Verdana" w:hAnsi="Verdana"/>
        </w:rPr>
        <w:t xml:space="preserve"> assessing the 90% </w:t>
      </w:r>
      <w:r w:rsidR="00845820">
        <w:rPr>
          <w:rFonts w:ascii="Verdana" w:hAnsi="Verdana"/>
        </w:rPr>
        <w:t xml:space="preserve">threshold </w:t>
      </w:r>
      <w:r w:rsidRPr="00C77512">
        <w:rPr>
          <w:rFonts w:ascii="Verdana" w:hAnsi="Verdana"/>
        </w:rPr>
        <w:t>considering the total amount of investments in Collective Investment Undertakings</w:t>
      </w:r>
      <w:r w:rsidR="00C1579B">
        <w:rPr>
          <w:rFonts w:ascii="Verdana" w:hAnsi="Verdana"/>
        </w:rPr>
        <w:t xml:space="preserve"> (CIU)</w:t>
      </w:r>
      <w:r w:rsidRPr="00C77512">
        <w:rPr>
          <w:rFonts w:ascii="Verdana" w:hAnsi="Verdana"/>
        </w:rPr>
        <w:t>. However,</w:t>
      </w:r>
      <w:r w:rsidR="00E22B79" w:rsidRPr="00C77512">
        <w:rPr>
          <w:rFonts w:ascii="Verdana" w:hAnsi="Verdana"/>
        </w:rPr>
        <w:t xml:space="preserve"> stakeholders believe</w:t>
      </w:r>
      <w:r w:rsidR="00845820">
        <w:rPr>
          <w:rFonts w:ascii="Verdana" w:hAnsi="Verdana"/>
        </w:rPr>
        <w:t>d</w:t>
      </w:r>
      <w:r w:rsidR="00E22B79" w:rsidRPr="00C77512">
        <w:rPr>
          <w:rFonts w:ascii="Verdana" w:hAnsi="Verdana"/>
        </w:rPr>
        <w:t xml:space="preserve"> that</w:t>
      </w:r>
      <w:r w:rsidRPr="00C77512">
        <w:rPr>
          <w:rFonts w:ascii="Verdana" w:hAnsi="Verdana"/>
        </w:rPr>
        <w:t xml:space="preserve"> the proposed amendments to the S.06.03 </w:t>
      </w:r>
      <w:r w:rsidR="00845820">
        <w:rPr>
          <w:rFonts w:ascii="Verdana" w:hAnsi="Verdana"/>
        </w:rPr>
        <w:t>Instructions</w:t>
      </w:r>
      <w:r w:rsidR="00E22B79" w:rsidRPr="00C77512">
        <w:rPr>
          <w:rFonts w:ascii="Verdana" w:hAnsi="Verdana"/>
        </w:rPr>
        <w:t xml:space="preserve"> </w:t>
      </w:r>
      <w:r w:rsidRPr="00C77512">
        <w:rPr>
          <w:rFonts w:ascii="Verdana" w:hAnsi="Verdana"/>
        </w:rPr>
        <w:t>w</w:t>
      </w:r>
      <w:r w:rsidR="00845820">
        <w:rPr>
          <w:rFonts w:ascii="Verdana" w:hAnsi="Verdana"/>
        </w:rPr>
        <w:t>ould</w:t>
      </w:r>
      <w:r w:rsidRPr="00C77512">
        <w:rPr>
          <w:rFonts w:ascii="Verdana" w:hAnsi="Verdana"/>
        </w:rPr>
        <w:t xml:space="preserve"> not reach the intended goal </w:t>
      </w:r>
      <w:r w:rsidR="00845820">
        <w:rPr>
          <w:rFonts w:ascii="Verdana" w:hAnsi="Verdana"/>
        </w:rPr>
        <w:t xml:space="preserve">if the </w:t>
      </w:r>
      <w:r w:rsidR="00E22B79" w:rsidRPr="00C77512">
        <w:rPr>
          <w:rFonts w:ascii="Verdana" w:hAnsi="Verdana"/>
        </w:rPr>
        <w:t>5</w:t>
      </w:r>
      <w:r w:rsidRPr="00C77512">
        <w:rPr>
          <w:rFonts w:ascii="Verdana" w:hAnsi="Verdana"/>
        </w:rPr>
        <w:t>% limit</w:t>
      </w:r>
      <w:r w:rsidR="00E22B79" w:rsidRPr="00C77512">
        <w:rPr>
          <w:rFonts w:ascii="Verdana" w:hAnsi="Verdana"/>
        </w:rPr>
        <w:t xml:space="preserve"> per country </w:t>
      </w:r>
      <w:r w:rsidR="00845820">
        <w:rPr>
          <w:rFonts w:ascii="Verdana" w:hAnsi="Verdana"/>
        </w:rPr>
        <w:t xml:space="preserve">would </w:t>
      </w:r>
      <w:r w:rsidR="00E22B79" w:rsidRPr="00C77512">
        <w:rPr>
          <w:rFonts w:ascii="Verdana" w:hAnsi="Verdana"/>
        </w:rPr>
        <w:t>remain applicable</w:t>
      </w:r>
      <w:r w:rsidR="00845820">
        <w:rPr>
          <w:rFonts w:ascii="Verdana" w:hAnsi="Verdana"/>
        </w:rPr>
        <w:t>, as this limit would in practice imply the look-through of 100% of the fund to be adequately implemented;</w:t>
      </w:r>
    </w:p>
    <w:p w:rsidR="00E22B79" w:rsidRPr="00C77512" w:rsidRDefault="00E22B79" w:rsidP="00E22B79">
      <w:pPr>
        <w:pStyle w:val="NoSpacing"/>
        <w:ind w:left="750"/>
        <w:jc w:val="both"/>
        <w:rPr>
          <w:rFonts w:ascii="Verdana" w:hAnsi="Verdana"/>
        </w:rPr>
      </w:pPr>
    </w:p>
    <w:p w:rsidR="0007707F" w:rsidRPr="00C77512" w:rsidRDefault="0007707F" w:rsidP="0007707F">
      <w:pPr>
        <w:pStyle w:val="NoSpacing"/>
        <w:numPr>
          <w:ilvl w:val="0"/>
          <w:numId w:val="2"/>
        </w:numPr>
        <w:jc w:val="both"/>
        <w:rPr>
          <w:rFonts w:ascii="Verdana" w:hAnsi="Verdana"/>
        </w:rPr>
      </w:pPr>
      <w:r w:rsidRPr="00C77512">
        <w:rPr>
          <w:rFonts w:ascii="Verdana" w:hAnsi="Verdana"/>
        </w:rPr>
        <w:t xml:space="preserve">One stakeholder </w:t>
      </w:r>
      <w:r w:rsidR="00845820" w:rsidRPr="00C77512">
        <w:rPr>
          <w:rFonts w:ascii="Verdana" w:hAnsi="Verdana"/>
        </w:rPr>
        <w:t xml:space="preserve">additional </w:t>
      </w:r>
      <w:r w:rsidRPr="00C77512">
        <w:rPr>
          <w:rFonts w:ascii="Verdana" w:hAnsi="Verdana"/>
        </w:rPr>
        <w:t xml:space="preserve">suggested </w:t>
      </w:r>
      <w:r w:rsidR="00845820">
        <w:rPr>
          <w:rFonts w:ascii="Verdana" w:hAnsi="Verdana"/>
        </w:rPr>
        <w:t>to</w:t>
      </w:r>
      <w:r w:rsidRPr="00C77512">
        <w:rPr>
          <w:rFonts w:ascii="Verdana" w:hAnsi="Verdana"/>
        </w:rPr>
        <w:t xml:space="preserve"> clarify that funds where all risks are borne by the policyholder (e. g. in case of unit-linked products) </w:t>
      </w:r>
      <w:r w:rsidR="00845820">
        <w:rPr>
          <w:rFonts w:ascii="Verdana" w:hAnsi="Verdana"/>
        </w:rPr>
        <w:t>would</w:t>
      </w:r>
      <w:r w:rsidRPr="00C77512">
        <w:rPr>
          <w:rFonts w:ascii="Verdana" w:hAnsi="Verdana"/>
        </w:rPr>
        <w:t xml:space="preserve"> not have to be considered when determining the 90% threshold and </w:t>
      </w:r>
      <w:r w:rsidR="00845820">
        <w:rPr>
          <w:rFonts w:ascii="Verdana" w:hAnsi="Verdana"/>
        </w:rPr>
        <w:t>should be</w:t>
      </w:r>
      <w:r w:rsidRPr="00C77512">
        <w:rPr>
          <w:rFonts w:ascii="Verdana" w:hAnsi="Verdana"/>
        </w:rPr>
        <w:t xml:space="preserve"> exempted fr</w:t>
      </w:r>
      <w:r w:rsidR="00845820">
        <w:rPr>
          <w:rFonts w:ascii="Verdana" w:hAnsi="Verdana"/>
        </w:rPr>
        <w:t>om the look-through requirement;</w:t>
      </w:r>
    </w:p>
    <w:p w:rsidR="0007707F" w:rsidRPr="00C77512" w:rsidRDefault="0007707F" w:rsidP="0007707F">
      <w:pPr>
        <w:pStyle w:val="NoSpacing"/>
        <w:ind w:left="750"/>
        <w:jc w:val="both"/>
        <w:rPr>
          <w:rFonts w:ascii="Verdana" w:hAnsi="Verdana"/>
        </w:rPr>
      </w:pPr>
    </w:p>
    <w:p w:rsidR="0007707F" w:rsidRPr="00C77512" w:rsidRDefault="00845820" w:rsidP="00774224">
      <w:pPr>
        <w:pStyle w:val="NoSpacing"/>
        <w:numPr>
          <w:ilvl w:val="0"/>
          <w:numId w:val="2"/>
        </w:numPr>
        <w:jc w:val="both"/>
        <w:rPr>
          <w:rFonts w:ascii="Verdana" w:hAnsi="Verdana"/>
        </w:rPr>
      </w:pPr>
      <w:r>
        <w:rPr>
          <w:rFonts w:ascii="Verdana" w:hAnsi="Verdana"/>
        </w:rPr>
        <w:t xml:space="preserve">In general some doubts still remain on the operational implementation of all proportionality thresholds and their interaction; </w:t>
      </w:r>
    </w:p>
    <w:p w:rsidR="00283032" w:rsidRPr="00C77512" w:rsidRDefault="00283032" w:rsidP="00283032">
      <w:pPr>
        <w:pStyle w:val="NoSpacing"/>
        <w:ind w:left="750"/>
        <w:jc w:val="both"/>
        <w:rPr>
          <w:rFonts w:ascii="Verdana" w:hAnsi="Verdana"/>
        </w:rPr>
      </w:pPr>
    </w:p>
    <w:p w:rsidR="00283032" w:rsidRPr="00C77512" w:rsidRDefault="00283032" w:rsidP="00845820">
      <w:pPr>
        <w:pStyle w:val="NoSpacing"/>
        <w:numPr>
          <w:ilvl w:val="0"/>
          <w:numId w:val="2"/>
        </w:numPr>
        <w:jc w:val="both"/>
        <w:rPr>
          <w:rFonts w:ascii="Verdana" w:hAnsi="Verdana"/>
        </w:rPr>
      </w:pPr>
      <w:r w:rsidRPr="00C77512">
        <w:rPr>
          <w:rFonts w:ascii="Verdana" w:hAnsi="Verdana"/>
        </w:rPr>
        <w:t xml:space="preserve">EIOPA </w:t>
      </w:r>
      <w:r w:rsidR="00845820">
        <w:rPr>
          <w:rFonts w:ascii="Verdana" w:hAnsi="Verdana"/>
        </w:rPr>
        <w:t xml:space="preserve">further clarified the Instructions </w:t>
      </w:r>
      <w:r w:rsidR="00E22B79" w:rsidRPr="00C77512">
        <w:rPr>
          <w:rFonts w:ascii="Verdana" w:hAnsi="Verdana"/>
        </w:rPr>
        <w:t xml:space="preserve">to accommodate the proportionality reflected </w:t>
      </w:r>
      <w:r w:rsidR="00845820">
        <w:rPr>
          <w:rFonts w:ascii="Verdana" w:hAnsi="Verdana"/>
        </w:rPr>
        <w:t>by</w:t>
      </w:r>
      <w:r w:rsidR="00E22B79" w:rsidRPr="00C77512">
        <w:rPr>
          <w:rFonts w:ascii="Verdana" w:hAnsi="Verdana"/>
        </w:rPr>
        <w:t xml:space="preserve"> the thresholds</w:t>
      </w:r>
      <w:r w:rsidR="00845820">
        <w:rPr>
          <w:rFonts w:ascii="Verdana" w:hAnsi="Verdana"/>
        </w:rPr>
        <w:t xml:space="preserve">. Undertakings are now requested </w:t>
      </w:r>
      <w:r w:rsidR="00845820" w:rsidRPr="00845820">
        <w:rPr>
          <w:rFonts w:ascii="Verdana" w:hAnsi="Verdana"/>
        </w:rPr>
        <w:t xml:space="preserve">to identify the country exposition of 90% of the value of the funds. </w:t>
      </w:r>
      <w:r w:rsidR="00845820">
        <w:rPr>
          <w:rFonts w:ascii="Verdana" w:hAnsi="Verdana"/>
        </w:rPr>
        <w:t xml:space="preserve">In addition they </w:t>
      </w:r>
      <w:r w:rsidR="00845820" w:rsidRPr="00845820">
        <w:rPr>
          <w:rFonts w:ascii="Verdana" w:hAnsi="Verdana"/>
        </w:rPr>
        <w:t xml:space="preserve">should have a reasonable confidence that the </w:t>
      </w:r>
      <w:r w:rsidR="00845820">
        <w:rPr>
          <w:rFonts w:ascii="Verdana" w:hAnsi="Verdana"/>
        </w:rPr>
        <w:t xml:space="preserve">remaining </w:t>
      </w:r>
      <w:r w:rsidR="00845820" w:rsidRPr="00845820">
        <w:rPr>
          <w:rFonts w:ascii="Verdana" w:hAnsi="Verdana"/>
        </w:rPr>
        <w:t>10% is diversified across geographical areas</w:t>
      </w:r>
      <w:r w:rsidR="00845820">
        <w:rPr>
          <w:rFonts w:ascii="Verdana" w:hAnsi="Verdana"/>
        </w:rPr>
        <w:t xml:space="preserve">. The 5% is given only as an example. A consistency principle was added; </w:t>
      </w:r>
    </w:p>
    <w:p w:rsidR="00E22B79" w:rsidRPr="00C77512" w:rsidRDefault="00E22B79" w:rsidP="00E22B79">
      <w:pPr>
        <w:pStyle w:val="NoSpacing"/>
        <w:jc w:val="both"/>
        <w:rPr>
          <w:rFonts w:ascii="Verdana" w:hAnsi="Verdana"/>
        </w:rPr>
      </w:pPr>
    </w:p>
    <w:p w:rsidR="00845820" w:rsidRDefault="00845820" w:rsidP="00845820">
      <w:pPr>
        <w:pStyle w:val="NoSpacing"/>
        <w:numPr>
          <w:ilvl w:val="0"/>
          <w:numId w:val="2"/>
        </w:numPr>
        <w:jc w:val="both"/>
        <w:rPr>
          <w:rFonts w:ascii="Verdana" w:hAnsi="Verdana"/>
        </w:rPr>
      </w:pPr>
      <w:r w:rsidRPr="00C77512">
        <w:rPr>
          <w:rFonts w:ascii="Verdana" w:hAnsi="Verdana"/>
        </w:rPr>
        <w:t>EIOPA disagrees with the proposal regarding the exemption of look-through regarding the CIU of unit-linked products as this issue was deeply discussed during the consultation for the ITS</w:t>
      </w:r>
      <w:r w:rsidR="00C1579B">
        <w:rPr>
          <w:rFonts w:ascii="Verdana" w:hAnsi="Verdana"/>
        </w:rPr>
        <w:t xml:space="preserve"> and EIOPA rational extensively explained</w:t>
      </w:r>
      <w:r>
        <w:rPr>
          <w:rFonts w:ascii="Verdana" w:hAnsi="Verdana"/>
        </w:rPr>
        <w:t>;</w:t>
      </w:r>
    </w:p>
    <w:p w:rsidR="00C1579B" w:rsidRDefault="00C1579B" w:rsidP="00C1579B">
      <w:pPr>
        <w:pStyle w:val="NoSpacing"/>
        <w:ind w:left="750"/>
        <w:jc w:val="both"/>
        <w:rPr>
          <w:rFonts w:ascii="Verdana" w:hAnsi="Verdana"/>
        </w:rPr>
      </w:pPr>
    </w:p>
    <w:p w:rsidR="00C1579B" w:rsidRDefault="00C1579B" w:rsidP="00774224">
      <w:pPr>
        <w:pStyle w:val="NoSpacing"/>
        <w:numPr>
          <w:ilvl w:val="0"/>
          <w:numId w:val="2"/>
        </w:numPr>
        <w:jc w:val="both"/>
        <w:rPr>
          <w:rFonts w:ascii="Verdana" w:hAnsi="Verdana"/>
        </w:rPr>
      </w:pPr>
      <w:r>
        <w:rPr>
          <w:rFonts w:ascii="Verdana" w:hAnsi="Verdana"/>
        </w:rPr>
        <w:t xml:space="preserve">Regarding the interaction of all limits EIOPA would like to clarify that: </w:t>
      </w:r>
    </w:p>
    <w:p w:rsidR="0007707F" w:rsidRDefault="00C1579B" w:rsidP="0007707F">
      <w:pPr>
        <w:pStyle w:val="NoSpacing"/>
        <w:numPr>
          <w:ilvl w:val="1"/>
          <w:numId w:val="2"/>
        </w:numPr>
        <w:jc w:val="both"/>
        <w:rPr>
          <w:rFonts w:ascii="Verdana" w:hAnsi="Verdana"/>
        </w:rPr>
      </w:pPr>
      <w:r w:rsidRPr="00C1579B">
        <w:rPr>
          <w:rFonts w:ascii="Verdana" w:hAnsi="Verdana"/>
        </w:rPr>
        <w:t xml:space="preserve">When looking-through by underlying asset category EIOPA expects that all categories are identified and that Category 4 is only used for non-material residual values. The amounts under this category are not expected to be looked-through by country, i.e. </w:t>
      </w:r>
      <w:r w:rsidR="00E22B79" w:rsidRPr="00C1579B">
        <w:rPr>
          <w:rFonts w:ascii="Verdana" w:hAnsi="Verdana"/>
        </w:rPr>
        <w:t>the code “AA” could be used for this amount</w:t>
      </w:r>
      <w:r>
        <w:rPr>
          <w:rFonts w:ascii="Verdana" w:hAnsi="Verdana"/>
        </w:rPr>
        <w:t xml:space="preserve">. However it is expected the split of this amount by reporting and foreign currency. </w:t>
      </w:r>
    </w:p>
    <w:p w:rsidR="00C1579B" w:rsidRPr="00C1579B" w:rsidRDefault="00C1579B" w:rsidP="0007707F">
      <w:pPr>
        <w:pStyle w:val="NoSpacing"/>
        <w:numPr>
          <w:ilvl w:val="1"/>
          <w:numId w:val="2"/>
        </w:numPr>
        <w:jc w:val="both"/>
        <w:rPr>
          <w:rFonts w:ascii="Verdana" w:hAnsi="Verdana"/>
        </w:rPr>
      </w:pPr>
      <w:r>
        <w:rPr>
          <w:rFonts w:ascii="Verdana" w:hAnsi="Verdana"/>
        </w:rPr>
        <w:t xml:space="preserve">When </w:t>
      </w:r>
      <w:r w:rsidRPr="00C1579B">
        <w:rPr>
          <w:rFonts w:ascii="Verdana" w:hAnsi="Verdana"/>
        </w:rPr>
        <w:t>looking-through by</w:t>
      </w:r>
      <w:r>
        <w:rPr>
          <w:rFonts w:ascii="Verdana" w:hAnsi="Verdana"/>
        </w:rPr>
        <w:t xml:space="preserve"> country, 10% may not be looked-through, considering all the amendments introduced. The amount identified as “AA” (including the ones identified as Category 4) should not be higher than 10%. For the amount identified as “AA”</w:t>
      </w:r>
      <w:r w:rsidRPr="00C1579B">
        <w:rPr>
          <w:rFonts w:ascii="Verdana" w:hAnsi="Verdana"/>
        </w:rPr>
        <w:t xml:space="preserve"> </w:t>
      </w:r>
      <w:r>
        <w:rPr>
          <w:rFonts w:ascii="Verdana" w:hAnsi="Verdana"/>
        </w:rPr>
        <w:t>it is expected the split by reporting and foreign currency.</w:t>
      </w:r>
    </w:p>
    <w:p w:rsidR="00774224" w:rsidRPr="00C77512" w:rsidRDefault="00774224" w:rsidP="00774224">
      <w:pPr>
        <w:pStyle w:val="NoSpacing"/>
        <w:jc w:val="both"/>
        <w:rPr>
          <w:rFonts w:ascii="Verdana" w:hAnsi="Verdana"/>
        </w:rPr>
      </w:pPr>
    </w:p>
    <w:p w:rsidR="00C862D9" w:rsidRPr="00C77512" w:rsidRDefault="00C862D9" w:rsidP="00C862D9">
      <w:pPr>
        <w:pStyle w:val="NoSpacing"/>
        <w:ind w:left="750"/>
        <w:jc w:val="both"/>
        <w:rPr>
          <w:rFonts w:ascii="Verdana" w:hAnsi="Verdana"/>
        </w:rPr>
      </w:pPr>
    </w:p>
    <w:p w:rsidR="00DB02FD" w:rsidRPr="00C77512" w:rsidRDefault="00DB02FD" w:rsidP="00283032">
      <w:pPr>
        <w:pStyle w:val="NoSpacing"/>
        <w:jc w:val="both"/>
        <w:rPr>
          <w:rFonts w:ascii="Verdana" w:hAnsi="Verdana"/>
        </w:rPr>
      </w:pPr>
    </w:p>
    <w:p w:rsidR="00DB02FD" w:rsidRPr="00F25CD7" w:rsidRDefault="00DB02FD" w:rsidP="00F25CD7">
      <w:pPr>
        <w:pStyle w:val="NoSpacing"/>
        <w:jc w:val="both"/>
        <w:rPr>
          <w:rFonts w:ascii="Verdana" w:hAnsi="Verdana"/>
          <w:b/>
        </w:rPr>
      </w:pPr>
      <w:r w:rsidRPr="00F25CD7">
        <w:rPr>
          <w:rFonts w:ascii="Verdana" w:hAnsi="Verdana"/>
          <w:b/>
        </w:rPr>
        <w:t xml:space="preserve">Life obligations analysis - S.14.01 - </w:t>
      </w:r>
      <w:r w:rsidR="00291EBA" w:rsidRPr="00F25CD7">
        <w:rPr>
          <w:rFonts w:ascii="Verdana" w:hAnsi="Verdana"/>
          <w:b/>
        </w:rPr>
        <w:t>Product ID code</w:t>
      </w:r>
      <w:r w:rsidRPr="00F25CD7">
        <w:rPr>
          <w:rFonts w:ascii="Verdana" w:hAnsi="Verdana"/>
          <w:b/>
        </w:rPr>
        <w:t xml:space="preserve"> (C0010)</w:t>
      </w:r>
    </w:p>
    <w:p w:rsidR="00DB02FD" w:rsidRPr="00C77512" w:rsidRDefault="00DB02FD" w:rsidP="00DB02FD">
      <w:pPr>
        <w:pStyle w:val="NoSpacing"/>
        <w:jc w:val="both"/>
        <w:rPr>
          <w:rFonts w:ascii="Verdana" w:hAnsi="Verdana"/>
        </w:rPr>
      </w:pPr>
    </w:p>
    <w:p w:rsidR="00DB02FD" w:rsidRPr="00C77512" w:rsidRDefault="00DB02FD" w:rsidP="00283032">
      <w:pPr>
        <w:pStyle w:val="NoSpacing"/>
        <w:numPr>
          <w:ilvl w:val="0"/>
          <w:numId w:val="5"/>
        </w:numPr>
        <w:jc w:val="both"/>
        <w:rPr>
          <w:rFonts w:ascii="Verdana" w:hAnsi="Verdana"/>
        </w:rPr>
      </w:pPr>
      <w:r w:rsidRPr="00C77512">
        <w:rPr>
          <w:rFonts w:ascii="Verdana" w:hAnsi="Verdana"/>
        </w:rPr>
        <w:lastRenderedPageBreak/>
        <w:t>Stakeholders questioned the benefit of the change introduced</w:t>
      </w:r>
      <w:r w:rsidR="00291EBA" w:rsidRPr="00C77512">
        <w:rPr>
          <w:rFonts w:ascii="Verdana" w:hAnsi="Verdana"/>
        </w:rPr>
        <w:t xml:space="preserve"> as they believe it will not add value to the current reporting</w:t>
      </w:r>
      <w:r w:rsidR="00FC72E2">
        <w:rPr>
          <w:rFonts w:ascii="Verdana" w:hAnsi="Verdana"/>
        </w:rPr>
        <w:t>.</w:t>
      </w:r>
      <w:r w:rsidR="00291EBA" w:rsidRPr="00C77512">
        <w:rPr>
          <w:rFonts w:ascii="Verdana" w:hAnsi="Verdana"/>
        </w:rPr>
        <w:t xml:space="preserve"> Besides no added value to the quality of the information this change implies additional implementation and maintenance effort to that otherwise would not be required.</w:t>
      </w:r>
      <w:r w:rsidRPr="00C77512">
        <w:rPr>
          <w:rFonts w:ascii="Verdana" w:hAnsi="Verdana"/>
        </w:rPr>
        <w:t xml:space="preserve"> Where the same product code appears in multiple rows, the current approach makes it possible to see what the different versions of the code represent. For example, in the Portfolio section, the split by country and by fund gives a clear distinction between the different rows</w:t>
      </w:r>
      <w:r w:rsidR="00FC72E2">
        <w:rPr>
          <w:rFonts w:ascii="Verdana" w:hAnsi="Verdana"/>
        </w:rPr>
        <w:t>;</w:t>
      </w:r>
      <w:r w:rsidRPr="00C77512">
        <w:rPr>
          <w:rFonts w:ascii="Verdana" w:hAnsi="Verdana"/>
        </w:rPr>
        <w:t xml:space="preserve"> </w:t>
      </w:r>
    </w:p>
    <w:p w:rsidR="00DB02FD" w:rsidRPr="00C77512" w:rsidRDefault="00DB02FD" w:rsidP="00291EBA">
      <w:pPr>
        <w:pStyle w:val="NoSpacing"/>
        <w:jc w:val="both"/>
        <w:rPr>
          <w:rFonts w:ascii="Verdana" w:hAnsi="Verdana"/>
        </w:rPr>
      </w:pPr>
    </w:p>
    <w:p w:rsidR="00DB02FD" w:rsidRPr="00C77512" w:rsidRDefault="00DB02FD" w:rsidP="00283032">
      <w:pPr>
        <w:pStyle w:val="NoSpacing"/>
        <w:numPr>
          <w:ilvl w:val="0"/>
          <w:numId w:val="5"/>
        </w:numPr>
        <w:jc w:val="both"/>
        <w:rPr>
          <w:rFonts w:ascii="Verdana" w:hAnsi="Verdana"/>
        </w:rPr>
      </w:pPr>
      <w:r w:rsidRPr="00C77512">
        <w:rPr>
          <w:rFonts w:ascii="Verdana" w:hAnsi="Verdana"/>
        </w:rPr>
        <w:t xml:space="preserve">EIOPA would like to highlight that the change </w:t>
      </w:r>
      <w:r w:rsidR="00FC72E2">
        <w:rPr>
          <w:rFonts w:ascii="Verdana" w:hAnsi="Verdana"/>
        </w:rPr>
        <w:t xml:space="preserve">introduced </w:t>
      </w:r>
      <w:r w:rsidRPr="00C77512">
        <w:rPr>
          <w:rFonts w:ascii="Verdana" w:hAnsi="Verdana"/>
        </w:rPr>
        <w:t xml:space="preserve">do not add any requirement to unbundle contracts. It only provides a technical solution for the cases where contracts have to be unbundled. </w:t>
      </w:r>
      <w:r w:rsidR="00FC72E2">
        <w:rPr>
          <w:rFonts w:ascii="Verdana" w:hAnsi="Verdana"/>
        </w:rPr>
        <w:t>The need to u</w:t>
      </w:r>
      <w:r w:rsidRPr="00C77512">
        <w:rPr>
          <w:rFonts w:ascii="Verdana" w:hAnsi="Verdana"/>
        </w:rPr>
        <w:t xml:space="preserve">nbundle might depend of different </w:t>
      </w:r>
      <w:r w:rsidR="00FC72E2" w:rsidRPr="00C77512">
        <w:rPr>
          <w:rFonts w:ascii="Verdana" w:hAnsi="Verdana"/>
        </w:rPr>
        <w:t>markets;</w:t>
      </w:r>
      <w:r w:rsidRPr="00C77512">
        <w:rPr>
          <w:rFonts w:ascii="Verdana" w:hAnsi="Verdana"/>
        </w:rPr>
        <w:t xml:space="preserve"> in some cases </w:t>
      </w:r>
      <w:r w:rsidR="00FC72E2">
        <w:rPr>
          <w:rFonts w:ascii="Verdana" w:hAnsi="Verdana"/>
        </w:rPr>
        <w:t>one single</w:t>
      </w:r>
      <w:r w:rsidRPr="00C77512">
        <w:rPr>
          <w:rFonts w:ascii="Verdana" w:hAnsi="Verdana"/>
        </w:rPr>
        <w:t xml:space="preserve"> product</w:t>
      </w:r>
      <w:r w:rsidR="00FC72E2">
        <w:rPr>
          <w:rFonts w:ascii="Verdana" w:hAnsi="Verdana"/>
        </w:rPr>
        <w:t xml:space="preserve"> is</w:t>
      </w:r>
      <w:r w:rsidRPr="00C77512">
        <w:rPr>
          <w:rFonts w:ascii="Verdana" w:hAnsi="Verdana"/>
        </w:rPr>
        <w:t xml:space="preserve"> associated to different internal funds</w:t>
      </w:r>
      <w:r w:rsidR="00EB7F9D">
        <w:rPr>
          <w:rFonts w:ascii="Verdana" w:hAnsi="Verdana"/>
        </w:rPr>
        <w:t>,</w:t>
      </w:r>
      <w:r w:rsidRPr="00C77512">
        <w:rPr>
          <w:rFonts w:ascii="Verdana" w:hAnsi="Verdana"/>
        </w:rPr>
        <w:t xml:space="preserve"> which are reported by fund. </w:t>
      </w:r>
      <w:r w:rsidR="00EB7F9D">
        <w:rPr>
          <w:rFonts w:ascii="Verdana" w:hAnsi="Verdana"/>
        </w:rPr>
        <w:t xml:space="preserve">On the other side, </w:t>
      </w:r>
      <w:r w:rsidRPr="00C77512">
        <w:rPr>
          <w:rFonts w:ascii="Verdana" w:hAnsi="Verdana"/>
        </w:rPr>
        <w:t>in the cases where the same product has different “Product denomination” different situations might apply and undertakings should contact the NSA.</w:t>
      </w:r>
      <w:r w:rsidR="00EB7F9D">
        <w:rPr>
          <w:rFonts w:ascii="Verdana" w:hAnsi="Verdana"/>
        </w:rPr>
        <w:t xml:space="preserve"> The amendment reflected clarifications already provided through a published Q&amp;A. </w:t>
      </w:r>
    </w:p>
    <w:p w:rsidR="00365644" w:rsidRPr="00C77512" w:rsidRDefault="00365644" w:rsidP="0029040F">
      <w:pPr>
        <w:pStyle w:val="NoSpacing"/>
        <w:ind w:left="750"/>
        <w:jc w:val="both"/>
        <w:rPr>
          <w:rFonts w:ascii="Verdana" w:hAnsi="Verdana"/>
        </w:rPr>
      </w:pPr>
    </w:p>
    <w:p w:rsidR="00365644" w:rsidRPr="00EB7F9D" w:rsidRDefault="00365644" w:rsidP="00EB7F9D">
      <w:pPr>
        <w:pStyle w:val="NoSpacing"/>
        <w:jc w:val="both"/>
        <w:rPr>
          <w:rFonts w:ascii="Verdana" w:hAnsi="Verdana"/>
          <w:b/>
        </w:rPr>
      </w:pPr>
      <w:r w:rsidRPr="00EB7F9D">
        <w:rPr>
          <w:rFonts w:ascii="Verdana" w:hAnsi="Verdana"/>
          <w:b/>
        </w:rPr>
        <w:t>Life obligations analysis - S.14.01</w:t>
      </w:r>
      <w:r w:rsidR="00666AB4" w:rsidRPr="00EB7F9D">
        <w:rPr>
          <w:rFonts w:ascii="Verdana" w:hAnsi="Verdana"/>
          <w:b/>
        </w:rPr>
        <w:t xml:space="preserve"> - Number of contracts at the end of the year (C0040)</w:t>
      </w:r>
    </w:p>
    <w:p w:rsidR="00365644" w:rsidRPr="00C77512" w:rsidRDefault="00365644" w:rsidP="00365644">
      <w:pPr>
        <w:pStyle w:val="NoSpacing"/>
        <w:jc w:val="both"/>
        <w:rPr>
          <w:rFonts w:ascii="Verdana" w:hAnsi="Verdana"/>
        </w:rPr>
      </w:pPr>
    </w:p>
    <w:p w:rsidR="00666AB4" w:rsidRPr="00C77512" w:rsidRDefault="00365644" w:rsidP="00EB7F9D">
      <w:pPr>
        <w:pStyle w:val="NoSpacing"/>
        <w:numPr>
          <w:ilvl w:val="0"/>
          <w:numId w:val="10"/>
        </w:numPr>
        <w:jc w:val="both"/>
        <w:rPr>
          <w:rFonts w:ascii="Verdana" w:hAnsi="Verdana"/>
        </w:rPr>
      </w:pPr>
      <w:r w:rsidRPr="00C77512">
        <w:rPr>
          <w:rFonts w:ascii="Verdana" w:hAnsi="Verdana"/>
        </w:rPr>
        <w:t xml:space="preserve">Stakeholders </w:t>
      </w:r>
      <w:r w:rsidR="00666AB4" w:rsidRPr="00C77512">
        <w:rPr>
          <w:rFonts w:ascii="Verdana" w:hAnsi="Verdana"/>
        </w:rPr>
        <w:t>expressed reservations about the proposed change in respect of unbundled policy counts</w:t>
      </w:r>
      <w:r w:rsidR="004136DF" w:rsidRPr="00C77512">
        <w:rPr>
          <w:rFonts w:ascii="Verdana" w:hAnsi="Verdana"/>
        </w:rPr>
        <w:t xml:space="preserve"> as a result to the belief that it</w:t>
      </w:r>
      <w:r w:rsidR="00666AB4" w:rsidRPr="00C77512">
        <w:rPr>
          <w:rFonts w:ascii="Verdana" w:hAnsi="Verdana"/>
        </w:rPr>
        <w:t xml:space="preserve"> is potentially misleading to count two different policies in </w:t>
      </w:r>
      <w:r w:rsidR="004136DF" w:rsidRPr="00C77512">
        <w:rPr>
          <w:rFonts w:ascii="Verdana" w:hAnsi="Verdana"/>
        </w:rPr>
        <w:t>specific</w:t>
      </w:r>
      <w:r w:rsidR="00666AB4" w:rsidRPr="00C77512">
        <w:rPr>
          <w:rFonts w:ascii="Verdana" w:hAnsi="Verdana"/>
        </w:rPr>
        <w:t xml:space="preserve"> situation</w:t>
      </w:r>
      <w:r w:rsidR="004136DF" w:rsidRPr="00C77512">
        <w:rPr>
          <w:rFonts w:ascii="Verdana" w:hAnsi="Verdana"/>
        </w:rPr>
        <w:t>s. Stakeholders</w:t>
      </w:r>
      <w:r w:rsidR="00666AB4" w:rsidRPr="00C77512">
        <w:rPr>
          <w:rFonts w:ascii="Verdana" w:hAnsi="Verdana"/>
        </w:rPr>
        <w:t xml:space="preserve"> believe the correct presentation is to show the count associated with the main policy but not to show a second policy count for the </w:t>
      </w:r>
      <w:r w:rsidR="004136DF" w:rsidRPr="00C77512">
        <w:rPr>
          <w:rFonts w:ascii="Verdana" w:hAnsi="Verdana"/>
        </w:rPr>
        <w:t>“</w:t>
      </w:r>
      <w:r w:rsidR="00666AB4" w:rsidRPr="00C77512">
        <w:rPr>
          <w:rFonts w:ascii="Verdana" w:hAnsi="Verdana"/>
        </w:rPr>
        <w:t>rider</w:t>
      </w:r>
      <w:r w:rsidR="004136DF" w:rsidRPr="00C77512">
        <w:rPr>
          <w:rFonts w:ascii="Verdana" w:hAnsi="Verdana"/>
        </w:rPr>
        <w:t>”</w:t>
      </w:r>
      <w:r w:rsidR="00666AB4" w:rsidRPr="00C77512">
        <w:rPr>
          <w:rFonts w:ascii="Verdana" w:hAnsi="Verdana"/>
        </w:rPr>
        <w:t xml:space="preserve"> (i.e. show one policy, not two).</w:t>
      </w:r>
    </w:p>
    <w:p w:rsidR="00666AB4" w:rsidRPr="00C77512" w:rsidRDefault="00666AB4" w:rsidP="00EB7F9D">
      <w:pPr>
        <w:pStyle w:val="NoSpacing"/>
        <w:ind w:left="750"/>
        <w:jc w:val="both"/>
        <w:rPr>
          <w:rFonts w:ascii="Verdana" w:hAnsi="Verdana"/>
        </w:rPr>
      </w:pPr>
    </w:p>
    <w:p w:rsidR="004136DF" w:rsidRPr="00C77512" w:rsidRDefault="004136DF" w:rsidP="00EB7F9D">
      <w:pPr>
        <w:pStyle w:val="NoSpacing"/>
        <w:numPr>
          <w:ilvl w:val="0"/>
          <w:numId w:val="10"/>
        </w:numPr>
        <w:jc w:val="both"/>
        <w:rPr>
          <w:rFonts w:ascii="Verdana" w:hAnsi="Verdana"/>
        </w:rPr>
      </w:pPr>
      <w:r w:rsidRPr="00C77512">
        <w:rPr>
          <w:rFonts w:ascii="Verdana" w:hAnsi="Verdana"/>
        </w:rPr>
        <w:t>Also there are cases in which stakeholders</w:t>
      </w:r>
      <w:r w:rsidR="00DB02FD" w:rsidRPr="00C77512">
        <w:rPr>
          <w:rFonts w:ascii="Verdana" w:hAnsi="Verdana"/>
        </w:rPr>
        <w:t>,</w:t>
      </w:r>
      <w:r w:rsidRPr="00C77512">
        <w:rPr>
          <w:rFonts w:ascii="Verdana" w:hAnsi="Verdana"/>
        </w:rPr>
        <w:t xml:space="preserve"> prior to the clarification introduced in the </w:t>
      </w:r>
      <w:r w:rsidR="00810B5E">
        <w:rPr>
          <w:rFonts w:ascii="Verdana" w:hAnsi="Verdana"/>
        </w:rPr>
        <w:t xml:space="preserve">Instructions were </w:t>
      </w:r>
      <w:r w:rsidRPr="00C77512">
        <w:rPr>
          <w:rFonts w:ascii="Verdana" w:hAnsi="Verdana"/>
        </w:rPr>
        <w:t xml:space="preserve">advised to count each contract once even if it is treated as </w:t>
      </w:r>
      <w:r w:rsidR="00DB02FD" w:rsidRPr="00C77512">
        <w:rPr>
          <w:rFonts w:ascii="Verdana" w:hAnsi="Verdana"/>
        </w:rPr>
        <w:t xml:space="preserve">a </w:t>
      </w:r>
      <w:r w:rsidRPr="00C77512">
        <w:rPr>
          <w:rFonts w:ascii="Verdana" w:hAnsi="Verdana"/>
        </w:rPr>
        <w:t>multiple polic</w:t>
      </w:r>
      <w:r w:rsidR="00DB02FD" w:rsidRPr="00C77512">
        <w:rPr>
          <w:rFonts w:ascii="Verdana" w:hAnsi="Verdana"/>
        </w:rPr>
        <w:t>y</w:t>
      </w:r>
      <w:r w:rsidRPr="00C77512">
        <w:rPr>
          <w:rFonts w:ascii="Verdana" w:hAnsi="Verdana"/>
        </w:rPr>
        <w:t xml:space="preserve"> i.e. unbundled. As this approach had already been implemented stakeholders believe </w:t>
      </w:r>
      <w:r w:rsidR="00DB02FD" w:rsidRPr="00C77512">
        <w:rPr>
          <w:rFonts w:ascii="Verdana" w:hAnsi="Verdana"/>
        </w:rPr>
        <w:t xml:space="preserve">this change would cause an additional </w:t>
      </w:r>
      <w:r w:rsidR="00810B5E">
        <w:rPr>
          <w:rFonts w:ascii="Verdana" w:hAnsi="Verdana"/>
        </w:rPr>
        <w:t>burden</w:t>
      </w:r>
      <w:r w:rsidR="00365644" w:rsidRPr="00C77512">
        <w:rPr>
          <w:rFonts w:ascii="Verdana" w:hAnsi="Verdana"/>
        </w:rPr>
        <w:t>.</w:t>
      </w:r>
    </w:p>
    <w:p w:rsidR="004136DF" w:rsidRPr="00C77512" w:rsidRDefault="004136DF" w:rsidP="00810B5E">
      <w:pPr>
        <w:pStyle w:val="NoSpacing"/>
        <w:ind w:left="750"/>
        <w:jc w:val="both"/>
        <w:rPr>
          <w:rFonts w:ascii="Verdana" w:hAnsi="Verdana"/>
        </w:rPr>
      </w:pPr>
    </w:p>
    <w:p w:rsidR="004136DF" w:rsidRDefault="00365644" w:rsidP="00EB7F9D">
      <w:pPr>
        <w:pStyle w:val="NoSpacing"/>
        <w:numPr>
          <w:ilvl w:val="0"/>
          <w:numId w:val="10"/>
        </w:numPr>
        <w:jc w:val="both"/>
        <w:rPr>
          <w:rFonts w:ascii="Verdana" w:hAnsi="Verdana"/>
        </w:rPr>
      </w:pPr>
      <w:r w:rsidRPr="00C77512">
        <w:rPr>
          <w:rFonts w:ascii="Verdana" w:hAnsi="Verdana"/>
        </w:rPr>
        <w:t xml:space="preserve">EIOPA would like to </w:t>
      </w:r>
      <w:r w:rsidR="00DB02FD" w:rsidRPr="00C77512">
        <w:rPr>
          <w:rFonts w:ascii="Verdana" w:hAnsi="Verdana"/>
        </w:rPr>
        <w:t xml:space="preserve">highlight and </w:t>
      </w:r>
      <w:r w:rsidRPr="00C77512">
        <w:rPr>
          <w:rFonts w:ascii="Verdana" w:hAnsi="Verdana"/>
        </w:rPr>
        <w:t>clarify</w:t>
      </w:r>
      <w:r w:rsidR="00DB02FD" w:rsidRPr="00C77512">
        <w:rPr>
          <w:rFonts w:ascii="Verdana" w:hAnsi="Verdana"/>
        </w:rPr>
        <w:t xml:space="preserve"> </w:t>
      </w:r>
      <w:r w:rsidR="00810B5E">
        <w:rPr>
          <w:rFonts w:ascii="Verdana" w:hAnsi="Verdana"/>
        </w:rPr>
        <w:t xml:space="preserve">that </w:t>
      </w:r>
      <w:r w:rsidR="00DB02FD" w:rsidRPr="00C77512">
        <w:rPr>
          <w:rFonts w:ascii="Verdana" w:hAnsi="Verdana"/>
        </w:rPr>
        <w:t xml:space="preserve">the need to report the number of contracts twice when the contracts are reported in more than one row does not imply any requirement on unbundling, but if unbundling is done, then the approach as described should be followed. </w:t>
      </w:r>
      <w:r w:rsidR="004136DF" w:rsidRPr="00C77512">
        <w:rPr>
          <w:rFonts w:ascii="Verdana" w:hAnsi="Verdana"/>
        </w:rPr>
        <w:t xml:space="preserve">If a contract is reported using different rows because there are different characteristics that need to be distinguished, it makes sense to repeat the information common to the contract in every row. </w:t>
      </w:r>
      <w:r w:rsidR="00DB02FD" w:rsidRPr="00C77512">
        <w:rPr>
          <w:rFonts w:ascii="Verdana" w:hAnsi="Verdana"/>
        </w:rPr>
        <w:t>EIOPA</w:t>
      </w:r>
      <w:r w:rsidR="004136DF" w:rsidRPr="00C77512">
        <w:rPr>
          <w:rFonts w:ascii="Verdana" w:hAnsi="Verdana"/>
        </w:rPr>
        <w:t xml:space="preserve"> believe</w:t>
      </w:r>
      <w:r w:rsidR="00DB02FD" w:rsidRPr="00C77512">
        <w:rPr>
          <w:rFonts w:ascii="Verdana" w:hAnsi="Verdana"/>
        </w:rPr>
        <w:t>s</w:t>
      </w:r>
      <w:r w:rsidR="004136DF" w:rsidRPr="00C77512">
        <w:rPr>
          <w:rFonts w:ascii="Verdana" w:hAnsi="Verdana"/>
        </w:rPr>
        <w:t xml:space="preserve"> this does not contradict </w:t>
      </w:r>
      <w:r w:rsidR="00DB02FD" w:rsidRPr="00C77512">
        <w:rPr>
          <w:rFonts w:ascii="Verdana" w:hAnsi="Verdana"/>
        </w:rPr>
        <w:t>to anything stated above</w:t>
      </w:r>
      <w:r w:rsidR="00810B5E">
        <w:rPr>
          <w:rFonts w:ascii="Verdana" w:hAnsi="Verdana"/>
        </w:rPr>
        <w:t xml:space="preserve"> by any NCA</w:t>
      </w:r>
      <w:r w:rsidR="004136DF" w:rsidRPr="00C77512">
        <w:rPr>
          <w:rFonts w:ascii="Verdana" w:hAnsi="Verdana"/>
        </w:rPr>
        <w:t>.</w:t>
      </w:r>
      <w:r w:rsidR="00810B5E">
        <w:rPr>
          <w:rFonts w:ascii="Verdana" w:hAnsi="Verdana"/>
        </w:rPr>
        <w:t xml:space="preserve"> Concretely, if a contract and its rider are reported separately they may count as 1. However if either the contract or the rider needs to be reported in more than one row (e.g. if the product covers more than one LoB), then the “1” needs to be repeated in C0040 of all rows related to the product/rider. </w:t>
      </w:r>
    </w:p>
    <w:p w:rsidR="002E3CDB" w:rsidRDefault="002E3CDB" w:rsidP="002E3CDB">
      <w:pPr>
        <w:pStyle w:val="ListParagraph"/>
        <w:rPr>
          <w:rFonts w:ascii="Verdana" w:hAnsi="Verdana"/>
        </w:rPr>
      </w:pPr>
    </w:p>
    <w:p w:rsidR="002E3CDB" w:rsidRDefault="002E3CDB">
      <w:pPr>
        <w:rPr>
          <w:rFonts w:ascii="Verdana" w:hAnsi="Verdana"/>
        </w:rPr>
      </w:pPr>
      <w:r>
        <w:rPr>
          <w:rFonts w:ascii="Verdana" w:hAnsi="Verdana"/>
        </w:rPr>
        <w:br w:type="page"/>
      </w:r>
    </w:p>
    <w:p w:rsidR="002E3CDB" w:rsidRPr="008B3783" w:rsidRDefault="002E3CDB" w:rsidP="002E3CDB">
      <w:pPr>
        <w:pStyle w:val="NoSpacing"/>
        <w:jc w:val="both"/>
        <w:rPr>
          <w:rFonts w:ascii="Verdana" w:hAnsi="Verdana"/>
          <w:b/>
        </w:rPr>
      </w:pPr>
      <w:r w:rsidRPr="008B3783">
        <w:rPr>
          <w:rFonts w:ascii="Verdana" w:hAnsi="Verdana"/>
          <w:b/>
        </w:rPr>
        <w:lastRenderedPageBreak/>
        <w:t>ANNEX I</w:t>
      </w:r>
    </w:p>
    <w:p w:rsidR="002E3CDB" w:rsidRPr="004146B5" w:rsidRDefault="002E3CDB" w:rsidP="002E3CDB">
      <w:pPr>
        <w:pStyle w:val="NoSpacing"/>
        <w:jc w:val="both"/>
        <w:rPr>
          <w:rFonts w:ascii="Verdana" w:hAnsi="Verdana"/>
          <w:b/>
        </w:rPr>
      </w:pPr>
    </w:p>
    <w:tbl>
      <w:tblPr>
        <w:tblStyle w:val="TableGrid"/>
        <w:tblpPr w:leftFromText="180" w:rightFromText="180" w:vertAnchor="text" w:tblpY="1"/>
        <w:tblOverlap w:val="never"/>
        <w:tblW w:w="9314" w:type="dxa"/>
        <w:tblLook w:val="04A0" w:firstRow="1" w:lastRow="0" w:firstColumn="1" w:lastColumn="0" w:noHBand="0" w:noVBand="1"/>
      </w:tblPr>
      <w:tblGrid>
        <w:gridCol w:w="1542"/>
        <w:gridCol w:w="1657"/>
        <w:gridCol w:w="6115"/>
      </w:tblGrid>
      <w:tr w:rsidR="004317B7" w:rsidTr="007A228B">
        <w:trPr>
          <w:trHeight w:val="560"/>
        </w:trPr>
        <w:tc>
          <w:tcPr>
            <w:tcW w:w="9314" w:type="dxa"/>
            <w:gridSpan w:val="3"/>
            <w:vAlign w:val="center"/>
          </w:tcPr>
          <w:p w:rsidR="004317B7" w:rsidRDefault="004317B7" w:rsidP="004317B7">
            <w:pPr>
              <w:pStyle w:val="NoSpacing"/>
              <w:jc w:val="center"/>
              <w:rPr>
                <w:rFonts w:ascii="Verdana" w:hAnsi="Verdana"/>
              </w:rPr>
            </w:pPr>
            <w:r w:rsidRPr="007832A6">
              <w:rPr>
                <w:rFonts w:ascii="Verdana" w:hAnsi="Verdana"/>
                <w:b/>
              </w:rPr>
              <w:t>Reporting</w:t>
            </w:r>
          </w:p>
        </w:tc>
      </w:tr>
      <w:tr w:rsidR="004317B7" w:rsidRPr="004317B7" w:rsidTr="00AC1689">
        <w:trPr>
          <w:cantSplit/>
          <w:trHeight w:val="401"/>
        </w:trPr>
        <w:tc>
          <w:tcPr>
            <w:tcW w:w="1542" w:type="dxa"/>
            <w:vAlign w:val="center"/>
          </w:tcPr>
          <w:p w:rsidR="004317B7" w:rsidRPr="004317B7" w:rsidRDefault="004317B7" w:rsidP="004317B7">
            <w:pPr>
              <w:pStyle w:val="NoSpacing"/>
              <w:rPr>
                <w:rFonts w:ascii="Verdana" w:hAnsi="Verdana"/>
                <w:b/>
              </w:rPr>
            </w:pPr>
            <w:r w:rsidRPr="004317B7">
              <w:rPr>
                <w:rFonts w:ascii="Verdana" w:hAnsi="Verdana"/>
                <w:b/>
              </w:rPr>
              <w:t>Source</w:t>
            </w:r>
          </w:p>
        </w:tc>
        <w:tc>
          <w:tcPr>
            <w:tcW w:w="1657" w:type="dxa"/>
            <w:vAlign w:val="center"/>
          </w:tcPr>
          <w:p w:rsidR="004317B7" w:rsidRPr="004317B7" w:rsidRDefault="004317B7" w:rsidP="004317B7">
            <w:pPr>
              <w:pStyle w:val="NoSpacing"/>
              <w:rPr>
                <w:rFonts w:ascii="Verdana" w:hAnsi="Verdana"/>
                <w:b/>
              </w:rPr>
            </w:pPr>
            <w:r w:rsidRPr="004317B7">
              <w:rPr>
                <w:rFonts w:ascii="Verdana" w:hAnsi="Verdana"/>
                <w:b/>
                <w:bCs/>
                <w:sz w:val="20"/>
                <w:szCs w:val="20"/>
              </w:rPr>
              <w:t>Template</w:t>
            </w:r>
          </w:p>
        </w:tc>
        <w:tc>
          <w:tcPr>
            <w:tcW w:w="6115" w:type="dxa"/>
            <w:vAlign w:val="center"/>
          </w:tcPr>
          <w:p w:rsidR="004317B7" w:rsidRPr="004317B7" w:rsidRDefault="004317B7" w:rsidP="004317B7">
            <w:pPr>
              <w:pStyle w:val="NoSpacing"/>
              <w:rPr>
                <w:rFonts w:ascii="Verdana" w:hAnsi="Verdana"/>
                <w:b/>
                <w:bCs/>
                <w:sz w:val="20"/>
                <w:szCs w:val="20"/>
              </w:rPr>
            </w:pPr>
            <w:r w:rsidRPr="004317B7">
              <w:rPr>
                <w:rFonts w:ascii="Verdana" w:hAnsi="Verdana"/>
                <w:b/>
                <w:bCs/>
                <w:sz w:val="20"/>
                <w:szCs w:val="20"/>
              </w:rPr>
              <w:t>Description</w:t>
            </w:r>
          </w:p>
        </w:tc>
      </w:tr>
      <w:tr w:rsidR="004146B5" w:rsidTr="00AC1689">
        <w:tc>
          <w:tcPr>
            <w:tcW w:w="1542" w:type="dxa"/>
          </w:tcPr>
          <w:p w:rsidR="004146B5" w:rsidRPr="007832A6" w:rsidRDefault="004146B5" w:rsidP="004146B5">
            <w:pPr>
              <w:pStyle w:val="NoSpacing"/>
              <w:rPr>
                <w:rFonts w:ascii="Verdana" w:hAnsi="Verdana"/>
                <w:b/>
              </w:rPr>
            </w:pPr>
            <w:r>
              <w:rPr>
                <w:rFonts w:ascii="Verdana" w:hAnsi="Verdana"/>
              </w:rPr>
              <w:t>Stakeholder</w:t>
            </w:r>
          </w:p>
        </w:tc>
        <w:tc>
          <w:tcPr>
            <w:tcW w:w="1657" w:type="dxa"/>
          </w:tcPr>
          <w:p w:rsidR="004146B5" w:rsidRDefault="004146B5" w:rsidP="004146B5">
            <w:pPr>
              <w:pStyle w:val="NoSpacing"/>
              <w:jc w:val="both"/>
              <w:rPr>
                <w:rFonts w:ascii="Verdana" w:hAnsi="Verdana"/>
              </w:rPr>
            </w:pPr>
            <w:r>
              <w:rPr>
                <w:rFonts w:ascii="Verdana" w:hAnsi="Verdana"/>
              </w:rPr>
              <w:t>S.01.01</w:t>
            </w:r>
          </w:p>
        </w:tc>
        <w:tc>
          <w:tcPr>
            <w:tcW w:w="6115" w:type="dxa"/>
          </w:tcPr>
          <w:p w:rsidR="004146B5" w:rsidRPr="004146B5" w:rsidRDefault="004146B5" w:rsidP="004146B5">
            <w:pPr>
              <w:jc w:val="both"/>
              <w:rPr>
                <w:rFonts w:ascii="Verdana" w:hAnsi="Verdana"/>
                <w:bCs/>
                <w:sz w:val="20"/>
                <w:szCs w:val="20"/>
              </w:rPr>
            </w:pPr>
            <w:r w:rsidRPr="004146B5">
              <w:rPr>
                <w:rFonts w:ascii="Verdana" w:hAnsi="Verdana"/>
                <w:bCs/>
                <w:sz w:val="20"/>
                <w:szCs w:val="20"/>
              </w:rPr>
              <w:t>In S.01.01, in the rows related to S.04.02, S.15.01, S.17.02, S.20.01, S.21.01, S21.02 and S.21.03 a new option was introduced:</w:t>
            </w:r>
          </w:p>
          <w:p w:rsidR="004146B5" w:rsidRDefault="004146B5" w:rsidP="004146B5">
            <w:pPr>
              <w:pStyle w:val="NoSpacing"/>
              <w:jc w:val="both"/>
              <w:rPr>
                <w:rFonts w:ascii="Verdana" w:hAnsi="Verdana"/>
              </w:rPr>
            </w:pPr>
            <w:r w:rsidRPr="004146B5">
              <w:rPr>
                <w:rFonts w:ascii="Verdana" w:hAnsi="Verdana"/>
                <w:bCs/>
                <w:sz w:val="20"/>
                <w:szCs w:val="20"/>
              </w:rPr>
              <w:t>“18 - Not reported as no direct insurance business”</w:t>
            </w:r>
          </w:p>
        </w:tc>
      </w:tr>
      <w:tr w:rsidR="00D932A7" w:rsidTr="00AC1689">
        <w:tc>
          <w:tcPr>
            <w:tcW w:w="1542" w:type="dxa"/>
          </w:tcPr>
          <w:p w:rsidR="00D932A7" w:rsidRPr="007832A6" w:rsidRDefault="00D932A7" w:rsidP="00D932A7">
            <w:pPr>
              <w:pStyle w:val="NoSpacing"/>
              <w:rPr>
                <w:rFonts w:ascii="Verdana" w:hAnsi="Verdana"/>
                <w:b/>
              </w:rPr>
            </w:pPr>
            <w:r>
              <w:rPr>
                <w:rFonts w:ascii="Verdana" w:hAnsi="Verdana"/>
              </w:rPr>
              <w:t>EIOPA</w:t>
            </w:r>
          </w:p>
        </w:tc>
        <w:tc>
          <w:tcPr>
            <w:tcW w:w="1657" w:type="dxa"/>
          </w:tcPr>
          <w:p w:rsidR="00D932A7" w:rsidRDefault="00D932A7" w:rsidP="00D932A7">
            <w:pPr>
              <w:pStyle w:val="NoSpacing"/>
              <w:jc w:val="both"/>
              <w:rPr>
                <w:rFonts w:ascii="Verdana" w:hAnsi="Verdana"/>
              </w:rPr>
            </w:pPr>
            <w:r>
              <w:rPr>
                <w:rFonts w:ascii="Verdana" w:hAnsi="Verdana"/>
              </w:rPr>
              <w:t>S.01.01</w:t>
            </w:r>
          </w:p>
        </w:tc>
        <w:tc>
          <w:tcPr>
            <w:tcW w:w="6115" w:type="dxa"/>
          </w:tcPr>
          <w:p w:rsidR="00D932A7" w:rsidRPr="004146B5" w:rsidRDefault="00D932A7" w:rsidP="00D932A7">
            <w:pPr>
              <w:jc w:val="both"/>
              <w:rPr>
                <w:rFonts w:ascii="Verdana" w:hAnsi="Verdana"/>
                <w:bCs/>
                <w:sz w:val="20"/>
                <w:szCs w:val="20"/>
              </w:rPr>
            </w:pPr>
            <w:r>
              <w:rPr>
                <w:rFonts w:ascii="Verdana" w:hAnsi="Verdana"/>
                <w:bCs/>
                <w:sz w:val="20"/>
                <w:szCs w:val="20"/>
              </w:rPr>
              <w:t>In S.01.01, in the rows related to S.06.02, S.06.03, S.08.01 and S.08.02, draft of the option “7” was amended</w:t>
            </w:r>
            <w:r>
              <w:t xml:space="preserve"> </w:t>
            </w:r>
            <w:r w:rsidRPr="004146B5">
              <w:rPr>
                <w:rFonts w:ascii="Verdana" w:hAnsi="Verdana"/>
                <w:bCs/>
                <w:sz w:val="20"/>
                <w:szCs w:val="20"/>
              </w:rPr>
              <w:t>as follows:</w:t>
            </w:r>
          </w:p>
          <w:p w:rsidR="00D932A7" w:rsidRDefault="00D932A7" w:rsidP="00D932A7">
            <w:pPr>
              <w:jc w:val="both"/>
              <w:rPr>
                <w:rFonts w:ascii="Verdana" w:hAnsi="Verdana"/>
                <w:bCs/>
                <w:sz w:val="20"/>
                <w:szCs w:val="20"/>
              </w:rPr>
            </w:pPr>
            <w:r w:rsidRPr="004146B5">
              <w:rPr>
                <w:rFonts w:ascii="Verdana" w:hAnsi="Verdana"/>
                <w:bCs/>
                <w:sz w:val="20"/>
                <w:szCs w:val="20"/>
              </w:rPr>
              <w:t>“7 – Not due annually as reported for Quarter 4 (this option is only applicable on annual submissions)”.</w:t>
            </w:r>
          </w:p>
          <w:p w:rsidR="00D932A7" w:rsidRDefault="00D932A7" w:rsidP="00D932A7">
            <w:pPr>
              <w:jc w:val="both"/>
              <w:rPr>
                <w:rFonts w:ascii="Verdana" w:hAnsi="Verdana"/>
                <w:bCs/>
                <w:sz w:val="20"/>
                <w:szCs w:val="20"/>
              </w:rPr>
            </w:pPr>
          </w:p>
          <w:p w:rsidR="00D932A7" w:rsidRDefault="00D932A7" w:rsidP="00D932A7">
            <w:pPr>
              <w:pStyle w:val="NoSpacing"/>
              <w:jc w:val="both"/>
              <w:rPr>
                <w:rFonts w:ascii="Verdana" w:hAnsi="Verdana"/>
              </w:rPr>
            </w:pPr>
            <w:r>
              <w:rPr>
                <w:rFonts w:ascii="Verdana" w:hAnsi="Verdana"/>
                <w:bCs/>
                <w:sz w:val="20"/>
                <w:szCs w:val="20"/>
              </w:rPr>
              <w:t xml:space="preserve">Templates are only due annually if not reported (exempted) for Q4. In case of material changes after Q4 submission Q4 information should be resubmitted. </w:t>
            </w:r>
          </w:p>
        </w:tc>
      </w:tr>
      <w:tr w:rsidR="00D74421" w:rsidTr="00AC1689">
        <w:tc>
          <w:tcPr>
            <w:tcW w:w="1542" w:type="dxa"/>
          </w:tcPr>
          <w:p w:rsidR="00D74421" w:rsidRPr="007832A6" w:rsidRDefault="00D74421" w:rsidP="004317B7">
            <w:pPr>
              <w:pStyle w:val="NoSpacing"/>
              <w:rPr>
                <w:rFonts w:ascii="Verdana" w:hAnsi="Verdana"/>
                <w:b/>
              </w:rPr>
            </w:pPr>
            <w:r>
              <w:rPr>
                <w:rFonts w:ascii="Verdana" w:hAnsi="Verdana"/>
              </w:rPr>
              <w:t>EIOPA</w:t>
            </w:r>
          </w:p>
        </w:tc>
        <w:tc>
          <w:tcPr>
            <w:tcW w:w="1657" w:type="dxa"/>
          </w:tcPr>
          <w:p w:rsidR="00D74421" w:rsidRDefault="00D74421" w:rsidP="004317B7">
            <w:pPr>
              <w:pStyle w:val="NoSpacing"/>
              <w:jc w:val="both"/>
              <w:rPr>
                <w:rFonts w:ascii="Verdana" w:hAnsi="Verdana"/>
              </w:rPr>
            </w:pPr>
            <w:r>
              <w:rPr>
                <w:rFonts w:ascii="Verdana" w:hAnsi="Verdana"/>
              </w:rPr>
              <w:t>S.01.01</w:t>
            </w:r>
          </w:p>
        </w:tc>
        <w:tc>
          <w:tcPr>
            <w:tcW w:w="6115" w:type="dxa"/>
          </w:tcPr>
          <w:p w:rsidR="00D932A7" w:rsidRPr="00D932A7" w:rsidRDefault="00D932A7" w:rsidP="00D932A7">
            <w:pPr>
              <w:jc w:val="both"/>
              <w:rPr>
                <w:rFonts w:ascii="Verdana" w:hAnsi="Verdana"/>
                <w:bCs/>
                <w:sz w:val="20"/>
                <w:szCs w:val="20"/>
              </w:rPr>
            </w:pPr>
            <w:r w:rsidRPr="00D932A7">
              <w:rPr>
                <w:rFonts w:ascii="Verdana" w:hAnsi="Verdana"/>
                <w:bCs/>
                <w:sz w:val="20"/>
                <w:szCs w:val="20"/>
              </w:rPr>
              <w:t>In S.01.01, in the rows related to all S.26 and SR.26 templates a new option was introduced:</w:t>
            </w:r>
          </w:p>
          <w:p w:rsidR="00D932A7" w:rsidRPr="00D932A7" w:rsidRDefault="00D932A7" w:rsidP="00D932A7">
            <w:pPr>
              <w:ind w:left="161"/>
              <w:jc w:val="both"/>
              <w:rPr>
                <w:rFonts w:ascii="Verdana" w:hAnsi="Verdana"/>
                <w:bCs/>
                <w:sz w:val="20"/>
                <w:szCs w:val="20"/>
              </w:rPr>
            </w:pPr>
            <w:r w:rsidRPr="00D932A7">
              <w:rPr>
                <w:rFonts w:ascii="Verdana" w:hAnsi="Verdana"/>
                <w:bCs/>
                <w:sz w:val="20"/>
                <w:szCs w:val="20"/>
              </w:rPr>
              <w:t>“17 – Reported twice due to use of PIM”</w:t>
            </w:r>
          </w:p>
          <w:p w:rsidR="00D932A7" w:rsidRPr="00D932A7" w:rsidRDefault="00D932A7" w:rsidP="00D932A7">
            <w:pPr>
              <w:jc w:val="both"/>
              <w:rPr>
                <w:rFonts w:ascii="Verdana" w:hAnsi="Verdana"/>
                <w:bCs/>
                <w:sz w:val="20"/>
                <w:szCs w:val="20"/>
              </w:rPr>
            </w:pPr>
          </w:p>
          <w:p w:rsidR="00D932A7" w:rsidRPr="00D932A7" w:rsidRDefault="00D932A7" w:rsidP="00D932A7">
            <w:pPr>
              <w:jc w:val="both"/>
              <w:rPr>
                <w:rFonts w:ascii="Verdana" w:hAnsi="Verdana"/>
                <w:bCs/>
                <w:sz w:val="20"/>
                <w:szCs w:val="20"/>
              </w:rPr>
            </w:pPr>
            <w:r w:rsidRPr="00D932A7">
              <w:rPr>
                <w:rFonts w:ascii="Verdana" w:hAnsi="Verdana"/>
                <w:bCs/>
                <w:sz w:val="20"/>
                <w:szCs w:val="20"/>
              </w:rPr>
              <w:t>This option is planned for the situations where S.26/SR.26 templates might have to be reported twice. This is the case of use of partial internal models, where the PIM only covers part of the risk module reported in each S.26. In this cases S.26 might have to be reported:</w:t>
            </w:r>
          </w:p>
          <w:p w:rsidR="00D932A7" w:rsidRPr="00D932A7" w:rsidRDefault="00D932A7" w:rsidP="00D932A7">
            <w:pPr>
              <w:tabs>
                <w:tab w:val="left" w:pos="161"/>
                <w:tab w:val="left" w:pos="444"/>
              </w:tabs>
              <w:ind w:left="161"/>
              <w:jc w:val="both"/>
              <w:rPr>
                <w:rFonts w:ascii="Verdana" w:hAnsi="Verdana"/>
                <w:bCs/>
                <w:sz w:val="20"/>
                <w:szCs w:val="20"/>
              </w:rPr>
            </w:pPr>
            <w:r w:rsidRPr="00D932A7">
              <w:rPr>
                <w:rFonts w:ascii="Verdana" w:hAnsi="Verdana"/>
                <w:bCs/>
                <w:sz w:val="20"/>
                <w:szCs w:val="20"/>
              </w:rPr>
              <w:t>-</w:t>
            </w:r>
            <w:r w:rsidRPr="00D932A7">
              <w:rPr>
                <w:rFonts w:ascii="Verdana" w:hAnsi="Verdana"/>
                <w:bCs/>
                <w:sz w:val="20"/>
                <w:szCs w:val="20"/>
              </w:rPr>
              <w:tab/>
              <w:t>As S.26, flag of Article 112 as “no” for the part of the risk module covered by the standard formula; and</w:t>
            </w:r>
          </w:p>
          <w:p w:rsidR="00D932A7" w:rsidRPr="00D932A7" w:rsidRDefault="00D932A7" w:rsidP="00D932A7">
            <w:pPr>
              <w:tabs>
                <w:tab w:val="left" w:pos="161"/>
                <w:tab w:val="left" w:pos="444"/>
              </w:tabs>
              <w:ind w:left="161"/>
              <w:jc w:val="both"/>
              <w:rPr>
                <w:rFonts w:ascii="Verdana" w:hAnsi="Verdana"/>
                <w:bCs/>
                <w:sz w:val="20"/>
                <w:szCs w:val="20"/>
              </w:rPr>
            </w:pPr>
            <w:r w:rsidRPr="00D932A7">
              <w:rPr>
                <w:rFonts w:ascii="Verdana" w:hAnsi="Verdana"/>
                <w:bCs/>
                <w:sz w:val="20"/>
                <w:szCs w:val="20"/>
              </w:rPr>
              <w:t>-</w:t>
            </w:r>
            <w:r w:rsidRPr="00D932A7">
              <w:rPr>
                <w:rFonts w:ascii="Verdana" w:hAnsi="Verdana"/>
                <w:bCs/>
                <w:sz w:val="20"/>
                <w:szCs w:val="20"/>
              </w:rPr>
              <w:tab/>
              <w:t>As S.26, flag of Article 112 as “yes” for the part of the risk module covered by the PIM, if requested by the NSA</w:t>
            </w:r>
          </w:p>
          <w:p w:rsidR="00D74421" w:rsidRDefault="00D932A7" w:rsidP="00D932A7">
            <w:pPr>
              <w:pStyle w:val="NoSpacing"/>
              <w:tabs>
                <w:tab w:val="left" w:pos="0"/>
              </w:tabs>
              <w:ind w:left="19"/>
              <w:jc w:val="both"/>
              <w:rPr>
                <w:rFonts w:ascii="Verdana" w:hAnsi="Verdana"/>
              </w:rPr>
            </w:pPr>
            <w:r w:rsidRPr="00D932A7">
              <w:rPr>
                <w:rFonts w:ascii="Verdana" w:hAnsi="Verdana"/>
                <w:bCs/>
                <w:sz w:val="20"/>
                <w:szCs w:val="20"/>
              </w:rPr>
              <w:t>For technical reasons this option is needed.</w:t>
            </w:r>
            <w:r w:rsidR="00D74421">
              <w:rPr>
                <w:rFonts w:ascii="Verdana" w:hAnsi="Verdana"/>
                <w:bCs/>
                <w:sz w:val="20"/>
                <w:szCs w:val="20"/>
              </w:rPr>
              <w:t xml:space="preserve"> </w:t>
            </w:r>
          </w:p>
        </w:tc>
      </w:tr>
      <w:tr w:rsidR="007A228B" w:rsidTr="00AC1689">
        <w:tc>
          <w:tcPr>
            <w:tcW w:w="1542" w:type="dxa"/>
          </w:tcPr>
          <w:p w:rsidR="007A228B" w:rsidRPr="008614CE" w:rsidRDefault="007A228B" w:rsidP="00564064">
            <w:pPr>
              <w:pStyle w:val="NoSpacing"/>
              <w:jc w:val="both"/>
              <w:rPr>
                <w:rFonts w:ascii="Verdana" w:hAnsi="Verdana"/>
              </w:rPr>
            </w:pPr>
            <w:r w:rsidRPr="008614CE">
              <w:rPr>
                <w:rFonts w:ascii="Verdana" w:hAnsi="Verdana"/>
              </w:rPr>
              <w:t>Stakeholder</w:t>
            </w:r>
          </w:p>
        </w:tc>
        <w:tc>
          <w:tcPr>
            <w:tcW w:w="1657" w:type="dxa"/>
          </w:tcPr>
          <w:p w:rsidR="007A228B" w:rsidRPr="008614CE" w:rsidRDefault="007A228B" w:rsidP="00564064">
            <w:pPr>
              <w:pStyle w:val="NoSpacing"/>
              <w:rPr>
                <w:rFonts w:ascii="Verdana" w:hAnsi="Verdana"/>
              </w:rPr>
            </w:pPr>
            <w:r w:rsidRPr="008614CE">
              <w:rPr>
                <w:rFonts w:ascii="Verdana" w:hAnsi="Verdana"/>
              </w:rPr>
              <w:t>S.06.02</w:t>
            </w:r>
          </w:p>
        </w:tc>
        <w:tc>
          <w:tcPr>
            <w:tcW w:w="6115" w:type="dxa"/>
          </w:tcPr>
          <w:p w:rsidR="007A228B" w:rsidRPr="008614CE" w:rsidRDefault="007A228B" w:rsidP="00564064">
            <w:pPr>
              <w:jc w:val="both"/>
              <w:rPr>
                <w:rFonts w:ascii="Verdana" w:hAnsi="Verdana"/>
                <w:bCs/>
                <w:sz w:val="20"/>
                <w:szCs w:val="20"/>
              </w:rPr>
            </w:pPr>
            <w:r w:rsidRPr="008614CE">
              <w:rPr>
                <w:rFonts w:ascii="Verdana" w:hAnsi="Verdana"/>
                <w:bCs/>
                <w:sz w:val="20"/>
                <w:szCs w:val="20"/>
              </w:rPr>
              <w:t xml:space="preserve">Drafting in the cell C0350 was amended and now it says “where available” at the end of the first paragraph, the same as it does in the cell C0320. </w:t>
            </w:r>
          </w:p>
          <w:p w:rsidR="007A228B" w:rsidRPr="008614CE" w:rsidRDefault="007A228B" w:rsidP="00564064">
            <w:pPr>
              <w:jc w:val="both"/>
              <w:rPr>
                <w:rFonts w:ascii="Verdana" w:hAnsi="Verdana"/>
                <w:bCs/>
                <w:sz w:val="20"/>
                <w:szCs w:val="20"/>
              </w:rPr>
            </w:pPr>
            <w:r w:rsidRPr="008614CE">
              <w:rPr>
                <w:rFonts w:ascii="Verdana" w:hAnsi="Verdana"/>
                <w:bCs/>
                <w:sz w:val="20"/>
                <w:szCs w:val="20"/>
              </w:rPr>
              <w:t>To avoid confusion and to be consistent with other instructions in relation to CIC 8, the following wording was added in the first paragraph of the instructions in both cells: “Regarding CIC 8 – Mortgages and Loans, other than mortgages and loans to natural persons”.</w:t>
            </w:r>
          </w:p>
          <w:p w:rsidR="007A228B" w:rsidRPr="008614CE" w:rsidRDefault="007A228B" w:rsidP="00564064">
            <w:pPr>
              <w:jc w:val="both"/>
              <w:rPr>
                <w:rFonts w:ascii="Verdana" w:hAnsi="Verdana"/>
              </w:rPr>
            </w:pPr>
            <w:r w:rsidRPr="008614CE">
              <w:rPr>
                <w:rFonts w:ascii="Verdana" w:hAnsi="Verdana"/>
                <w:bCs/>
                <w:sz w:val="20"/>
                <w:szCs w:val="20"/>
              </w:rPr>
              <w:t>In the cell C0320 it has also been clarified that it relates to the “issue rating” and not to the rating of the issuer.</w:t>
            </w:r>
          </w:p>
        </w:tc>
      </w:tr>
      <w:tr w:rsidR="007A228B" w:rsidTr="00AC1689">
        <w:tc>
          <w:tcPr>
            <w:tcW w:w="1542" w:type="dxa"/>
          </w:tcPr>
          <w:p w:rsidR="007A228B" w:rsidRPr="008614CE" w:rsidRDefault="007A228B" w:rsidP="00564064">
            <w:pPr>
              <w:pStyle w:val="NoSpacing"/>
              <w:jc w:val="both"/>
              <w:rPr>
                <w:rFonts w:ascii="Verdana" w:hAnsi="Verdana"/>
              </w:rPr>
            </w:pPr>
            <w:r w:rsidRPr="008614CE">
              <w:rPr>
                <w:rFonts w:ascii="Verdana" w:hAnsi="Verdana"/>
              </w:rPr>
              <w:t>Stakeholder</w:t>
            </w:r>
          </w:p>
        </w:tc>
        <w:tc>
          <w:tcPr>
            <w:tcW w:w="1657" w:type="dxa"/>
          </w:tcPr>
          <w:p w:rsidR="007A228B" w:rsidRPr="008614CE" w:rsidRDefault="007A228B" w:rsidP="00564064">
            <w:pPr>
              <w:pStyle w:val="NoSpacing"/>
              <w:jc w:val="both"/>
              <w:rPr>
                <w:rFonts w:ascii="Verdana" w:hAnsi="Verdana"/>
              </w:rPr>
            </w:pPr>
            <w:r w:rsidRPr="008614CE">
              <w:rPr>
                <w:rFonts w:ascii="Verdana" w:hAnsi="Verdana"/>
              </w:rPr>
              <w:t>S.07.01</w:t>
            </w:r>
          </w:p>
        </w:tc>
        <w:tc>
          <w:tcPr>
            <w:tcW w:w="6115" w:type="dxa"/>
          </w:tcPr>
          <w:p w:rsidR="007A228B" w:rsidRPr="008614CE" w:rsidRDefault="007A228B" w:rsidP="00564064">
            <w:pPr>
              <w:rPr>
                <w:rFonts w:ascii="Verdana" w:hAnsi="Verdana" w:cs="Calibri"/>
                <w:color w:val="000000"/>
                <w:sz w:val="20"/>
                <w:szCs w:val="20"/>
                <w:lang w:eastAsia="fr-FR"/>
              </w:rPr>
            </w:pPr>
            <w:r w:rsidRPr="008614CE">
              <w:rPr>
                <w:rFonts w:ascii="Verdana" w:hAnsi="Verdana" w:cs="Calibri"/>
                <w:color w:val="000000"/>
                <w:sz w:val="20"/>
                <w:szCs w:val="20"/>
                <w:lang w:eastAsia="fr-FR"/>
              </w:rPr>
              <w:t xml:space="preserve">Drafting </w:t>
            </w:r>
            <w:r>
              <w:rPr>
                <w:rFonts w:ascii="Verdana" w:hAnsi="Verdana" w:cs="Calibri"/>
                <w:color w:val="000000"/>
                <w:sz w:val="20"/>
                <w:szCs w:val="20"/>
                <w:lang w:eastAsia="fr-FR"/>
              </w:rPr>
              <w:t xml:space="preserve">of the cell C0160 </w:t>
            </w:r>
            <w:r w:rsidRPr="008614CE">
              <w:rPr>
                <w:rFonts w:ascii="Verdana" w:hAnsi="Verdana" w:cs="Calibri"/>
                <w:color w:val="000000"/>
                <w:sz w:val="20"/>
                <w:szCs w:val="20"/>
                <w:lang w:eastAsia="fr-FR"/>
              </w:rPr>
              <w:t>was amended and the following sentence was added at the end of the instructions:</w:t>
            </w:r>
          </w:p>
          <w:p w:rsidR="007A228B" w:rsidRPr="008614CE" w:rsidRDefault="007A228B" w:rsidP="00564064">
            <w:pPr>
              <w:rPr>
                <w:rFonts w:ascii="Verdana" w:hAnsi="Verdana" w:cs="Calibri"/>
                <w:color w:val="000000"/>
                <w:sz w:val="20"/>
                <w:szCs w:val="20"/>
                <w:lang w:eastAsia="fr-FR"/>
              </w:rPr>
            </w:pPr>
            <w:r w:rsidRPr="008614CE">
              <w:rPr>
                <w:rFonts w:ascii="Verdana" w:hAnsi="Verdana" w:cs="Calibri"/>
                <w:color w:val="000000"/>
                <w:sz w:val="20"/>
                <w:szCs w:val="20"/>
                <w:lang w:eastAsia="fr-FR"/>
              </w:rPr>
              <w:t>“When needed this item may be reported as a string to reflect how the return is calculated.</w:t>
            </w:r>
            <w:proofErr w:type="gramStart"/>
            <w:r w:rsidRPr="008614CE">
              <w:rPr>
                <w:rFonts w:ascii="Verdana" w:hAnsi="Verdana" w:cs="Calibri"/>
                <w:color w:val="000000"/>
                <w:sz w:val="20"/>
                <w:szCs w:val="20"/>
                <w:lang w:eastAsia="fr-FR"/>
              </w:rPr>
              <w:t>”.</w:t>
            </w:r>
            <w:proofErr w:type="gramEnd"/>
          </w:p>
        </w:tc>
      </w:tr>
      <w:tr w:rsidR="007A228B" w:rsidTr="00AC1689">
        <w:tc>
          <w:tcPr>
            <w:tcW w:w="1542" w:type="dxa"/>
          </w:tcPr>
          <w:p w:rsidR="007A228B" w:rsidRPr="008614CE" w:rsidRDefault="007A228B" w:rsidP="00564064">
            <w:pPr>
              <w:pStyle w:val="NoSpacing"/>
              <w:jc w:val="both"/>
              <w:rPr>
                <w:rFonts w:ascii="Verdana" w:hAnsi="Verdana"/>
              </w:rPr>
            </w:pPr>
            <w:r w:rsidRPr="00940091">
              <w:rPr>
                <w:rFonts w:ascii="Verdana" w:hAnsi="Verdana"/>
              </w:rPr>
              <w:t>EIOPA</w:t>
            </w:r>
          </w:p>
        </w:tc>
        <w:tc>
          <w:tcPr>
            <w:tcW w:w="1657" w:type="dxa"/>
          </w:tcPr>
          <w:p w:rsidR="007A228B" w:rsidRPr="008614CE" w:rsidRDefault="007A228B" w:rsidP="00564064">
            <w:pPr>
              <w:pStyle w:val="NoSpacing"/>
              <w:jc w:val="both"/>
              <w:rPr>
                <w:rFonts w:ascii="Verdana" w:hAnsi="Verdana"/>
              </w:rPr>
            </w:pPr>
            <w:r w:rsidRPr="008614CE">
              <w:rPr>
                <w:rFonts w:ascii="Verdana" w:hAnsi="Verdana"/>
              </w:rPr>
              <w:t>S.07.01</w:t>
            </w:r>
          </w:p>
        </w:tc>
        <w:tc>
          <w:tcPr>
            <w:tcW w:w="6115" w:type="dxa"/>
          </w:tcPr>
          <w:p w:rsidR="007A228B" w:rsidRPr="008614CE" w:rsidRDefault="007A228B" w:rsidP="00564064">
            <w:pPr>
              <w:rPr>
                <w:rFonts w:ascii="Verdana" w:hAnsi="Verdana" w:cs="Calibri"/>
                <w:color w:val="000000"/>
                <w:sz w:val="20"/>
                <w:szCs w:val="20"/>
                <w:lang w:eastAsia="fr-FR"/>
              </w:rPr>
            </w:pPr>
            <w:r w:rsidRPr="008614CE">
              <w:rPr>
                <w:rFonts w:ascii="Verdana" w:hAnsi="Verdana" w:cs="Calibri"/>
                <w:color w:val="000000"/>
                <w:sz w:val="20"/>
                <w:szCs w:val="20"/>
                <w:lang w:eastAsia="fr-FR"/>
              </w:rPr>
              <w:t>In the cell C0170 drafting was amended and the following part of the sentence in the first paragraph was deleted:</w:t>
            </w:r>
          </w:p>
          <w:p w:rsidR="007A228B" w:rsidRPr="008614CE" w:rsidRDefault="007A228B" w:rsidP="00564064">
            <w:pPr>
              <w:rPr>
                <w:rFonts w:ascii="Verdana" w:hAnsi="Verdana" w:cs="Calibri"/>
                <w:color w:val="000000"/>
                <w:sz w:val="20"/>
                <w:szCs w:val="20"/>
                <w:lang w:eastAsia="fr-FR"/>
              </w:rPr>
            </w:pPr>
            <w:r w:rsidRPr="008614CE">
              <w:rPr>
                <w:rFonts w:ascii="Verdana" w:hAnsi="Verdana" w:cs="Calibri"/>
                <w:color w:val="000000"/>
                <w:sz w:val="20"/>
                <w:szCs w:val="20"/>
                <w:lang w:eastAsia="fr-FR"/>
              </w:rPr>
              <w:t>“</w:t>
            </w:r>
            <w:proofErr w:type="gramStart"/>
            <w:r w:rsidRPr="008614CE">
              <w:rPr>
                <w:rFonts w:ascii="Verdana" w:hAnsi="Verdana" w:cs="Calibri"/>
                <w:color w:val="000000"/>
                <w:sz w:val="20"/>
                <w:szCs w:val="20"/>
                <w:lang w:eastAsia="fr-FR"/>
              </w:rPr>
              <w:t>e.g</w:t>
            </w:r>
            <w:proofErr w:type="gramEnd"/>
            <w:r w:rsidRPr="008614CE">
              <w:rPr>
                <w:rFonts w:ascii="Verdana" w:hAnsi="Verdana" w:cs="Calibri"/>
                <w:color w:val="000000"/>
                <w:sz w:val="20"/>
                <w:szCs w:val="20"/>
                <w:lang w:eastAsia="fr-FR"/>
              </w:rPr>
              <w:t>. 5% shall be reported as 0,05”.</w:t>
            </w:r>
          </w:p>
        </w:tc>
      </w:tr>
      <w:tr w:rsidR="007A228B" w:rsidTr="00AC1689">
        <w:tc>
          <w:tcPr>
            <w:tcW w:w="1542" w:type="dxa"/>
          </w:tcPr>
          <w:p w:rsidR="007A228B" w:rsidRPr="008614CE" w:rsidRDefault="007A228B" w:rsidP="00564064">
            <w:pPr>
              <w:pStyle w:val="NoSpacing"/>
              <w:jc w:val="both"/>
              <w:rPr>
                <w:rFonts w:ascii="Verdana" w:hAnsi="Verdana"/>
              </w:rPr>
            </w:pPr>
            <w:r w:rsidRPr="008614CE">
              <w:rPr>
                <w:rFonts w:ascii="Verdana" w:hAnsi="Verdana"/>
              </w:rPr>
              <w:t>Stakeholder</w:t>
            </w:r>
          </w:p>
        </w:tc>
        <w:tc>
          <w:tcPr>
            <w:tcW w:w="1657" w:type="dxa"/>
          </w:tcPr>
          <w:p w:rsidR="007A228B" w:rsidRPr="008614CE" w:rsidRDefault="007A228B" w:rsidP="00564064">
            <w:pPr>
              <w:pStyle w:val="NoSpacing"/>
              <w:jc w:val="both"/>
              <w:rPr>
                <w:rFonts w:ascii="Verdana" w:hAnsi="Verdana"/>
              </w:rPr>
            </w:pPr>
            <w:r w:rsidRPr="008614CE">
              <w:rPr>
                <w:rFonts w:ascii="Verdana" w:hAnsi="Verdana"/>
              </w:rPr>
              <w:t>S.08.01</w:t>
            </w:r>
          </w:p>
          <w:p w:rsidR="007A228B" w:rsidRPr="008614CE" w:rsidRDefault="007A228B" w:rsidP="00564064">
            <w:pPr>
              <w:pStyle w:val="NoSpacing"/>
              <w:jc w:val="both"/>
              <w:rPr>
                <w:rFonts w:ascii="Verdana" w:hAnsi="Verdana"/>
              </w:rPr>
            </w:pPr>
            <w:r w:rsidRPr="008614CE">
              <w:rPr>
                <w:rFonts w:ascii="Verdana" w:hAnsi="Verdana"/>
              </w:rPr>
              <w:t>S.08.02</w:t>
            </w:r>
          </w:p>
          <w:p w:rsidR="007A228B" w:rsidRPr="008614CE" w:rsidRDefault="007A228B" w:rsidP="00564064">
            <w:pPr>
              <w:pStyle w:val="NoSpacing"/>
              <w:jc w:val="both"/>
              <w:rPr>
                <w:rFonts w:ascii="Verdana" w:hAnsi="Verdana"/>
              </w:rPr>
            </w:pPr>
          </w:p>
        </w:tc>
        <w:tc>
          <w:tcPr>
            <w:tcW w:w="6115" w:type="dxa"/>
          </w:tcPr>
          <w:p w:rsidR="007A228B" w:rsidRPr="008614CE" w:rsidRDefault="007A228B" w:rsidP="00564064">
            <w:pPr>
              <w:rPr>
                <w:rFonts w:ascii="Verdana" w:hAnsi="Verdana" w:cs="Calibri"/>
                <w:color w:val="000000"/>
                <w:sz w:val="20"/>
                <w:szCs w:val="20"/>
                <w:lang w:eastAsia="fr-FR"/>
              </w:rPr>
            </w:pPr>
            <w:r w:rsidRPr="008614CE">
              <w:rPr>
                <w:rFonts w:ascii="Verdana" w:hAnsi="Verdana" w:cs="Calibri"/>
                <w:color w:val="000000"/>
                <w:sz w:val="20"/>
                <w:szCs w:val="20"/>
                <w:lang w:eastAsia="fr-FR"/>
              </w:rPr>
              <w:t xml:space="preserve">In the instructions for the template S.08.01 cells C0150 and C0160, and template S.08.02 cells C0140, C0150 and C0160  the word “inception” was replaced by the following: </w:t>
            </w:r>
          </w:p>
          <w:p w:rsidR="007A228B" w:rsidRPr="008614CE" w:rsidRDefault="007A228B" w:rsidP="00564064">
            <w:pPr>
              <w:rPr>
                <w:rFonts w:ascii="Verdana" w:hAnsi="Verdana" w:cs="Calibri"/>
                <w:color w:val="000000"/>
                <w:sz w:val="20"/>
                <w:szCs w:val="20"/>
                <w:lang w:eastAsia="fr-FR"/>
              </w:rPr>
            </w:pPr>
            <w:r w:rsidRPr="008614CE">
              <w:rPr>
                <w:rFonts w:ascii="Verdana" w:hAnsi="Verdana" w:cs="Calibri"/>
                <w:color w:val="000000"/>
                <w:sz w:val="20"/>
                <w:szCs w:val="20"/>
                <w:lang w:eastAsia="fr-FR"/>
              </w:rPr>
              <w:t xml:space="preserve">“.., the moment the undertaking entered in the </w:t>
            </w:r>
            <w:r w:rsidRPr="008614CE">
              <w:rPr>
                <w:rFonts w:ascii="Verdana" w:hAnsi="Verdana" w:cs="Calibri"/>
                <w:color w:val="000000"/>
                <w:sz w:val="20"/>
                <w:szCs w:val="20"/>
                <w:lang w:eastAsia="fr-FR"/>
              </w:rPr>
              <w:lastRenderedPageBreak/>
              <w:t>derivative”.</w:t>
            </w:r>
          </w:p>
          <w:p w:rsidR="007A228B" w:rsidRPr="008614CE" w:rsidRDefault="007A228B" w:rsidP="00564064">
            <w:pPr>
              <w:rPr>
                <w:rFonts w:ascii="Verdana" w:hAnsi="Verdana" w:cs="Calibri"/>
                <w:color w:val="000000"/>
                <w:sz w:val="20"/>
                <w:szCs w:val="20"/>
                <w:lang w:eastAsia="fr-FR"/>
              </w:rPr>
            </w:pPr>
          </w:p>
          <w:p w:rsidR="007A228B" w:rsidRPr="008614CE" w:rsidRDefault="007A228B" w:rsidP="00564064">
            <w:pPr>
              <w:rPr>
                <w:rFonts w:ascii="Verdana" w:hAnsi="Verdana" w:cs="Calibri"/>
                <w:color w:val="000000"/>
                <w:sz w:val="20"/>
                <w:szCs w:val="20"/>
                <w:lang w:eastAsia="fr-FR"/>
              </w:rPr>
            </w:pPr>
            <w:r w:rsidRPr="008614CE">
              <w:rPr>
                <w:rFonts w:ascii="Verdana" w:hAnsi="Verdana" w:cs="Calibri"/>
                <w:color w:val="000000"/>
                <w:sz w:val="20"/>
                <w:szCs w:val="20"/>
                <w:lang w:eastAsia="fr-FR"/>
              </w:rPr>
              <w:t>Purpose of this change was to clarify the meaning of the inception.</w:t>
            </w:r>
          </w:p>
        </w:tc>
      </w:tr>
      <w:tr w:rsidR="007A228B" w:rsidTr="00AC1689">
        <w:tc>
          <w:tcPr>
            <w:tcW w:w="1542" w:type="dxa"/>
          </w:tcPr>
          <w:p w:rsidR="007A228B" w:rsidRPr="008614CE" w:rsidRDefault="007A228B" w:rsidP="00564064">
            <w:pPr>
              <w:pStyle w:val="NoSpacing"/>
              <w:jc w:val="both"/>
              <w:rPr>
                <w:rFonts w:ascii="Verdana" w:hAnsi="Verdana"/>
              </w:rPr>
            </w:pPr>
            <w:r w:rsidRPr="008614CE">
              <w:rPr>
                <w:rFonts w:ascii="Verdana" w:hAnsi="Verdana"/>
              </w:rPr>
              <w:lastRenderedPageBreak/>
              <w:t>Stakeholder</w:t>
            </w:r>
          </w:p>
        </w:tc>
        <w:tc>
          <w:tcPr>
            <w:tcW w:w="1657" w:type="dxa"/>
          </w:tcPr>
          <w:p w:rsidR="007A228B" w:rsidRPr="008614CE" w:rsidRDefault="007A228B" w:rsidP="00564064">
            <w:pPr>
              <w:pStyle w:val="NoSpacing"/>
              <w:jc w:val="both"/>
              <w:rPr>
                <w:rFonts w:ascii="Verdana" w:hAnsi="Verdana"/>
              </w:rPr>
            </w:pPr>
            <w:r w:rsidRPr="008614CE">
              <w:rPr>
                <w:rFonts w:ascii="Verdana" w:hAnsi="Verdana"/>
              </w:rPr>
              <w:t>S.08.01</w:t>
            </w:r>
          </w:p>
        </w:tc>
        <w:tc>
          <w:tcPr>
            <w:tcW w:w="6115" w:type="dxa"/>
          </w:tcPr>
          <w:p w:rsidR="007A228B" w:rsidRDefault="007A228B" w:rsidP="00564064">
            <w:pPr>
              <w:rPr>
                <w:rFonts w:ascii="Verdana" w:hAnsi="Verdana" w:cs="Calibri"/>
                <w:color w:val="000000"/>
                <w:sz w:val="20"/>
                <w:szCs w:val="20"/>
                <w:lang w:eastAsia="fr-FR"/>
              </w:rPr>
            </w:pPr>
            <w:r>
              <w:rPr>
                <w:rFonts w:ascii="Verdana" w:hAnsi="Verdana" w:cs="Calibri"/>
                <w:color w:val="000000"/>
                <w:sz w:val="20"/>
                <w:szCs w:val="20"/>
                <w:lang w:eastAsia="fr-FR"/>
              </w:rPr>
              <w:t>The second and third paragraph of the i</w:t>
            </w:r>
            <w:r w:rsidRPr="008614CE">
              <w:rPr>
                <w:rFonts w:ascii="Verdana" w:hAnsi="Verdana" w:cs="Calibri"/>
                <w:color w:val="000000"/>
                <w:sz w:val="20"/>
                <w:szCs w:val="20"/>
                <w:lang w:eastAsia="fr-FR"/>
              </w:rPr>
              <w:t xml:space="preserve">nstructions to the cell C0290 </w:t>
            </w:r>
            <w:r>
              <w:rPr>
                <w:rFonts w:ascii="Verdana" w:hAnsi="Verdana" w:cs="Calibri"/>
                <w:color w:val="000000"/>
                <w:sz w:val="20"/>
                <w:szCs w:val="20"/>
                <w:lang w:eastAsia="fr-FR"/>
              </w:rPr>
              <w:t>“</w:t>
            </w:r>
            <w:r w:rsidRPr="008614CE">
              <w:rPr>
                <w:rFonts w:ascii="Verdana" w:hAnsi="Verdana" w:cs="Calibri"/>
                <w:color w:val="000000"/>
                <w:sz w:val="20"/>
                <w:szCs w:val="20"/>
                <w:lang w:eastAsia="fr-FR"/>
              </w:rPr>
              <w:t>External rating</w:t>
            </w:r>
            <w:r>
              <w:rPr>
                <w:rFonts w:ascii="Verdana" w:hAnsi="Verdana" w:cs="Calibri"/>
                <w:color w:val="000000"/>
                <w:sz w:val="20"/>
                <w:szCs w:val="20"/>
                <w:lang w:eastAsia="fr-FR"/>
              </w:rPr>
              <w:t>”</w:t>
            </w:r>
            <w:r w:rsidRPr="008614CE">
              <w:rPr>
                <w:rFonts w:ascii="Verdana" w:hAnsi="Verdana" w:cs="Calibri"/>
                <w:color w:val="000000"/>
                <w:sz w:val="20"/>
                <w:szCs w:val="20"/>
                <w:lang w:eastAsia="fr-FR"/>
              </w:rPr>
              <w:t xml:space="preserve"> </w:t>
            </w:r>
            <w:r>
              <w:rPr>
                <w:rFonts w:ascii="Verdana" w:hAnsi="Verdana" w:cs="Calibri"/>
                <w:color w:val="000000"/>
                <w:sz w:val="20"/>
                <w:szCs w:val="20"/>
                <w:lang w:eastAsia="fr-FR"/>
              </w:rPr>
              <w:t>a</w:t>
            </w:r>
            <w:r w:rsidRPr="008614CE">
              <w:rPr>
                <w:rFonts w:ascii="Verdana" w:hAnsi="Verdana" w:cs="Calibri"/>
                <w:color w:val="000000"/>
                <w:sz w:val="20"/>
                <w:szCs w:val="20"/>
                <w:lang w:eastAsia="fr-FR"/>
              </w:rPr>
              <w:t>re amended as follows :</w:t>
            </w:r>
          </w:p>
          <w:p w:rsidR="007A228B" w:rsidRPr="008614CE" w:rsidRDefault="007A228B" w:rsidP="00564064">
            <w:pPr>
              <w:rPr>
                <w:rFonts w:ascii="Verdana" w:hAnsi="Verdana" w:cs="Calibri"/>
                <w:color w:val="000000"/>
                <w:sz w:val="20"/>
                <w:szCs w:val="20"/>
                <w:lang w:eastAsia="fr-FR"/>
              </w:rPr>
            </w:pPr>
          </w:p>
          <w:p w:rsidR="007A228B" w:rsidRPr="00771784" w:rsidRDefault="007A228B" w:rsidP="00564064">
            <w:pPr>
              <w:jc w:val="both"/>
              <w:rPr>
                <w:rFonts w:ascii="Verdana" w:hAnsi="Verdana" w:cs="Calibri"/>
                <w:color w:val="000000"/>
                <w:sz w:val="20"/>
                <w:szCs w:val="20"/>
                <w:lang w:eastAsia="fr-FR"/>
              </w:rPr>
            </w:pPr>
            <w:r>
              <w:rPr>
                <w:rFonts w:ascii="Verdana" w:hAnsi="Verdana" w:cs="Calibri"/>
                <w:color w:val="000000"/>
                <w:sz w:val="20"/>
                <w:szCs w:val="20"/>
                <w:lang w:eastAsia="fr-FR"/>
              </w:rPr>
              <w:t>“</w:t>
            </w:r>
            <w:r w:rsidRPr="00771784">
              <w:rPr>
                <w:rFonts w:ascii="Verdana" w:hAnsi="Verdana" w:cs="Calibri"/>
                <w:color w:val="000000"/>
                <w:sz w:val="20"/>
                <w:szCs w:val="20"/>
                <w:lang w:eastAsia="fr-FR"/>
              </w:rPr>
              <w:t>The rating of the counterparty of the derivative at the reporting reference date as provided by the nominated credit assessment institution (ECAI).</w:t>
            </w:r>
          </w:p>
          <w:p w:rsidR="007A228B" w:rsidRPr="00771784" w:rsidRDefault="007A228B" w:rsidP="00564064">
            <w:pPr>
              <w:jc w:val="both"/>
              <w:rPr>
                <w:rFonts w:ascii="Verdana" w:hAnsi="Verdana" w:cs="Calibri"/>
                <w:color w:val="000000"/>
                <w:sz w:val="20"/>
                <w:szCs w:val="20"/>
                <w:lang w:eastAsia="fr-FR"/>
              </w:rPr>
            </w:pPr>
            <w:r w:rsidRPr="00771784">
              <w:rPr>
                <w:rFonts w:ascii="Verdana" w:hAnsi="Verdana" w:cs="Calibri"/>
                <w:color w:val="000000"/>
                <w:sz w:val="20"/>
                <w:szCs w:val="20"/>
                <w:lang w:eastAsia="fr-FR"/>
              </w:rPr>
              <w:t>If an issuer rating is not available the item should be left blank.</w:t>
            </w:r>
            <w:proofErr w:type="gramStart"/>
            <w:r w:rsidRPr="00771784">
              <w:rPr>
                <w:rFonts w:ascii="Verdana" w:hAnsi="Verdana" w:cs="Calibri"/>
                <w:color w:val="000000"/>
                <w:sz w:val="20"/>
                <w:szCs w:val="20"/>
                <w:lang w:eastAsia="fr-FR"/>
              </w:rPr>
              <w:t>”</w:t>
            </w:r>
            <w:r>
              <w:rPr>
                <w:rFonts w:ascii="Verdana" w:hAnsi="Verdana" w:cs="Calibri"/>
                <w:color w:val="000000"/>
                <w:sz w:val="20"/>
                <w:szCs w:val="20"/>
                <w:lang w:eastAsia="fr-FR"/>
              </w:rPr>
              <w:t>.</w:t>
            </w:r>
            <w:proofErr w:type="gramEnd"/>
          </w:p>
        </w:tc>
      </w:tr>
      <w:tr w:rsidR="007A228B" w:rsidTr="00AC1689">
        <w:tc>
          <w:tcPr>
            <w:tcW w:w="1542" w:type="dxa"/>
          </w:tcPr>
          <w:p w:rsidR="007A228B" w:rsidRPr="008614CE" w:rsidRDefault="007A228B" w:rsidP="00564064">
            <w:pPr>
              <w:pStyle w:val="NoSpacing"/>
              <w:jc w:val="both"/>
              <w:rPr>
                <w:rFonts w:ascii="Verdana" w:hAnsi="Verdana"/>
              </w:rPr>
            </w:pPr>
            <w:r w:rsidRPr="008614CE">
              <w:rPr>
                <w:rFonts w:ascii="Verdana" w:hAnsi="Verdana"/>
              </w:rPr>
              <w:t>Stakeholder</w:t>
            </w:r>
          </w:p>
        </w:tc>
        <w:tc>
          <w:tcPr>
            <w:tcW w:w="1657" w:type="dxa"/>
          </w:tcPr>
          <w:p w:rsidR="007A228B" w:rsidRPr="00E47396" w:rsidRDefault="007A228B" w:rsidP="00564064">
            <w:pPr>
              <w:pStyle w:val="NoSpacing"/>
              <w:jc w:val="both"/>
              <w:rPr>
                <w:rFonts w:ascii="Verdana" w:hAnsi="Verdana"/>
              </w:rPr>
            </w:pPr>
            <w:r w:rsidRPr="00E47396">
              <w:rPr>
                <w:rFonts w:ascii="Verdana" w:hAnsi="Verdana"/>
              </w:rPr>
              <w:t>S.08.02</w:t>
            </w:r>
          </w:p>
          <w:p w:rsidR="007A228B" w:rsidRPr="00E47396" w:rsidRDefault="007A228B" w:rsidP="00564064">
            <w:pPr>
              <w:pStyle w:val="NoSpacing"/>
              <w:jc w:val="both"/>
              <w:rPr>
                <w:rFonts w:ascii="Verdana" w:hAnsi="Verdana" w:cs="Calibri"/>
                <w:color w:val="000000"/>
                <w:sz w:val="20"/>
                <w:szCs w:val="20"/>
                <w:lang w:eastAsia="fr-FR"/>
              </w:rPr>
            </w:pPr>
            <w:r w:rsidRPr="00E47396">
              <w:rPr>
                <w:rFonts w:ascii="Verdana" w:hAnsi="Verdana"/>
              </w:rPr>
              <w:t>Individual under</w:t>
            </w:r>
            <w:r>
              <w:rPr>
                <w:rFonts w:ascii="Verdana" w:hAnsi="Verdana"/>
              </w:rPr>
              <w:t>takings</w:t>
            </w:r>
          </w:p>
        </w:tc>
        <w:tc>
          <w:tcPr>
            <w:tcW w:w="6115" w:type="dxa"/>
          </w:tcPr>
          <w:p w:rsidR="007A228B" w:rsidRPr="008614CE" w:rsidRDefault="007A228B" w:rsidP="00564064">
            <w:pPr>
              <w:rPr>
                <w:rFonts w:ascii="Verdana" w:hAnsi="Verdana" w:cs="Calibri"/>
                <w:color w:val="000000"/>
                <w:sz w:val="20"/>
                <w:szCs w:val="20"/>
                <w:lang w:eastAsia="fr-FR"/>
              </w:rPr>
            </w:pPr>
            <w:r>
              <w:rPr>
                <w:rFonts w:ascii="Verdana" w:hAnsi="Verdana" w:cs="Calibri"/>
                <w:color w:val="000000"/>
                <w:sz w:val="20"/>
                <w:szCs w:val="20"/>
                <w:lang w:eastAsia="fr-FR"/>
              </w:rPr>
              <w:t>In order to align it with S.08.01 from the 4</w:t>
            </w:r>
            <w:r w:rsidRPr="00E47396">
              <w:rPr>
                <w:rFonts w:ascii="Verdana" w:hAnsi="Verdana" w:cs="Calibri"/>
                <w:color w:val="000000"/>
                <w:sz w:val="20"/>
                <w:szCs w:val="20"/>
                <w:lang w:eastAsia="fr-FR"/>
              </w:rPr>
              <w:t>th</w:t>
            </w:r>
            <w:r>
              <w:rPr>
                <w:rFonts w:ascii="Verdana" w:hAnsi="Verdana" w:cs="Calibri"/>
                <w:color w:val="000000"/>
                <w:sz w:val="20"/>
                <w:szCs w:val="20"/>
                <w:lang w:eastAsia="fr-FR"/>
              </w:rPr>
              <w:t xml:space="preserve"> p</w:t>
            </w:r>
            <w:r w:rsidRPr="008614CE">
              <w:rPr>
                <w:rFonts w:ascii="Verdana" w:hAnsi="Verdana" w:cs="Calibri"/>
                <w:color w:val="000000"/>
                <w:sz w:val="20"/>
                <w:szCs w:val="20"/>
                <w:lang w:eastAsia="fr-FR"/>
              </w:rPr>
              <w:t>aragraph</w:t>
            </w:r>
            <w:r>
              <w:rPr>
                <w:rFonts w:ascii="Verdana" w:hAnsi="Verdana" w:cs="Calibri"/>
                <w:color w:val="000000"/>
                <w:sz w:val="20"/>
                <w:szCs w:val="20"/>
                <w:lang w:eastAsia="fr-FR"/>
              </w:rPr>
              <w:t xml:space="preserve"> of the general comments in the template S.08.02 the following was deleted</w:t>
            </w:r>
            <w:r w:rsidRPr="008614CE">
              <w:rPr>
                <w:rFonts w:ascii="Verdana" w:hAnsi="Verdana" w:cs="Calibri"/>
                <w:color w:val="000000"/>
                <w:sz w:val="20"/>
                <w:szCs w:val="20"/>
                <w:lang w:eastAsia="fr-FR"/>
              </w:rPr>
              <w:t>:</w:t>
            </w:r>
          </w:p>
          <w:p w:rsidR="007A228B" w:rsidRPr="00E47396" w:rsidRDefault="007A228B" w:rsidP="00564064">
            <w:pPr>
              <w:jc w:val="both"/>
              <w:rPr>
                <w:rFonts w:ascii="Verdana" w:hAnsi="Verdana" w:cs="Calibri"/>
                <w:color w:val="000000"/>
                <w:sz w:val="20"/>
                <w:szCs w:val="20"/>
                <w:lang w:eastAsia="fr-FR"/>
              </w:rPr>
            </w:pPr>
            <w:r>
              <w:rPr>
                <w:rFonts w:ascii="Verdana" w:hAnsi="Verdana" w:cs="Calibri"/>
                <w:color w:val="000000"/>
                <w:sz w:val="20"/>
                <w:szCs w:val="20"/>
                <w:lang w:eastAsia="fr-FR"/>
              </w:rPr>
              <w:t>“…</w:t>
            </w:r>
            <w:r w:rsidRPr="00E47396">
              <w:rPr>
                <w:rFonts w:ascii="Verdana" w:hAnsi="Verdana" w:cs="Calibri"/>
                <w:color w:val="000000"/>
                <w:sz w:val="20"/>
                <w:szCs w:val="20"/>
                <w:lang w:eastAsia="fr-FR"/>
              </w:rPr>
              <w:t>or if they are issued by the undertaking</w:t>
            </w:r>
            <w:r>
              <w:rPr>
                <w:rFonts w:ascii="Verdana" w:hAnsi="Verdana" w:cs="Calibri"/>
                <w:color w:val="000000"/>
                <w:sz w:val="20"/>
                <w:szCs w:val="20"/>
                <w:lang w:eastAsia="fr-FR"/>
              </w:rPr>
              <w:t>”</w:t>
            </w:r>
          </w:p>
        </w:tc>
      </w:tr>
      <w:tr w:rsidR="007A228B" w:rsidTr="00AC1689">
        <w:tc>
          <w:tcPr>
            <w:tcW w:w="1542" w:type="dxa"/>
          </w:tcPr>
          <w:p w:rsidR="007A228B" w:rsidRPr="00F32F29" w:rsidRDefault="007A228B" w:rsidP="00564064">
            <w:pPr>
              <w:pStyle w:val="NoSpacing"/>
              <w:jc w:val="both"/>
              <w:rPr>
                <w:rFonts w:ascii="Verdana" w:hAnsi="Verdana"/>
              </w:rPr>
            </w:pPr>
            <w:r w:rsidRPr="00F32F29">
              <w:rPr>
                <w:rFonts w:ascii="Verdana" w:hAnsi="Verdana"/>
              </w:rPr>
              <w:t>Stakeholder</w:t>
            </w:r>
          </w:p>
        </w:tc>
        <w:tc>
          <w:tcPr>
            <w:tcW w:w="1657" w:type="dxa"/>
          </w:tcPr>
          <w:p w:rsidR="007A228B" w:rsidRPr="00F32F29" w:rsidRDefault="007A228B" w:rsidP="00564064">
            <w:pPr>
              <w:pStyle w:val="NoSpacing"/>
              <w:jc w:val="both"/>
              <w:rPr>
                <w:rFonts w:ascii="Verdana" w:hAnsi="Verdana"/>
              </w:rPr>
            </w:pPr>
            <w:r w:rsidRPr="00F32F29">
              <w:rPr>
                <w:rFonts w:ascii="Verdana" w:hAnsi="Verdana"/>
              </w:rPr>
              <w:t>S.08.02</w:t>
            </w:r>
          </w:p>
          <w:p w:rsidR="007A228B" w:rsidRPr="00F32F29" w:rsidRDefault="007A228B" w:rsidP="00564064">
            <w:pPr>
              <w:pStyle w:val="NoSpacing"/>
              <w:jc w:val="both"/>
              <w:rPr>
                <w:rFonts w:ascii="Verdana" w:hAnsi="Verdana"/>
              </w:rPr>
            </w:pPr>
            <w:r w:rsidRPr="00F32F29">
              <w:rPr>
                <w:rFonts w:ascii="Verdana" w:hAnsi="Verdana"/>
              </w:rPr>
              <w:t>Groups</w:t>
            </w:r>
          </w:p>
        </w:tc>
        <w:tc>
          <w:tcPr>
            <w:tcW w:w="6115" w:type="dxa"/>
          </w:tcPr>
          <w:p w:rsidR="007A228B" w:rsidRPr="008614CE" w:rsidRDefault="007A228B" w:rsidP="00564064">
            <w:pPr>
              <w:rPr>
                <w:rFonts w:ascii="Verdana" w:hAnsi="Verdana" w:cs="Calibri"/>
                <w:color w:val="000000"/>
                <w:sz w:val="20"/>
                <w:szCs w:val="20"/>
                <w:lang w:eastAsia="fr-FR"/>
              </w:rPr>
            </w:pPr>
            <w:r>
              <w:rPr>
                <w:rFonts w:ascii="Verdana" w:hAnsi="Verdana" w:cs="Calibri"/>
                <w:color w:val="000000"/>
                <w:sz w:val="20"/>
                <w:szCs w:val="20"/>
                <w:lang w:eastAsia="fr-FR"/>
              </w:rPr>
              <w:t>In order to align it with S.08.01 from the 4</w:t>
            </w:r>
            <w:r w:rsidRPr="00E47396">
              <w:rPr>
                <w:rFonts w:ascii="Verdana" w:hAnsi="Verdana" w:cs="Calibri"/>
                <w:color w:val="000000"/>
                <w:sz w:val="20"/>
                <w:szCs w:val="20"/>
                <w:lang w:eastAsia="fr-FR"/>
              </w:rPr>
              <w:t>th</w:t>
            </w:r>
            <w:r>
              <w:rPr>
                <w:rFonts w:ascii="Verdana" w:hAnsi="Verdana" w:cs="Calibri"/>
                <w:color w:val="000000"/>
                <w:sz w:val="20"/>
                <w:szCs w:val="20"/>
                <w:lang w:eastAsia="fr-FR"/>
              </w:rPr>
              <w:t xml:space="preserve"> p</w:t>
            </w:r>
            <w:r w:rsidRPr="008614CE">
              <w:rPr>
                <w:rFonts w:ascii="Verdana" w:hAnsi="Verdana" w:cs="Calibri"/>
                <w:color w:val="000000"/>
                <w:sz w:val="20"/>
                <w:szCs w:val="20"/>
                <w:lang w:eastAsia="fr-FR"/>
              </w:rPr>
              <w:t>aragraph</w:t>
            </w:r>
            <w:r>
              <w:rPr>
                <w:rFonts w:ascii="Verdana" w:hAnsi="Verdana" w:cs="Calibri"/>
                <w:color w:val="000000"/>
                <w:sz w:val="20"/>
                <w:szCs w:val="20"/>
                <w:lang w:eastAsia="fr-FR"/>
              </w:rPr>
              <w:t xml:space="preserve"> of the general comments in the template S.08.02 the following was deleted</w:t>
            </w:r>
            <w:r w:rsidRPr="008614CE">
              <w:rPr>
                <w:rFonts w:ascii="Verdana" w:hAnsi="Verdana" w:cs="Calibri"/>
                <w:color w:val="000000"/>
                <w:sz w:val="20"/>
                <w:szCs w:val="20"/>
                <w:lang w:eastAsia="fr-FR"/>
              </w:rPr>
              <w:t>:</w:t>
            </w:r>
          </w:p>
          <w:p w:rsidR="007A228B" w:rsidRPr="00E47396" w:rsidRDefault="007A228B" w:rsidP="00564064">
            <w:pPr>
              <w:jc w:val="both"/>
              <w:rPr>
                <w:rFonts w:ascii="Verdana" w:hAnsi="Verdana"/>
                <w:highlight w:val="green"/>
              </w:rPr>
            </w:pPr>
            <w:r>
              <w:rPr>
                <w:rFonts w:ascii="Verdana" w:hAnsi="Verdana" w:cs="Calibri"/>
                <w:color w:val="000000"/>
                <w:sz w:val="20"/>
                <w:szCs w:val="20"/>
                <w:lang w:eastAsia="fr-FR"/>
              </w:rPr>
              <w:t>“…</w:t>
            </w:r>
            <w:r w:rsidRPr="00E47396">
              <w:rPr>
                <w:rFonts w:ascii="Verdana" w:hAnsi="Verdana" w:cs="Calibri"/>
                <w:color w:val="000000"/>
                <w:sz w:val="20"/>
                <w:szCs w:val="20"/>
                <w:lang w:eastAsia="fr-FR"/>
              </w:rPr>
              <w:t xml:space="preserve">or if they are issued by the </w:t>
            </w:r>
            <w:r>
              <w:rPr>
                <w:rFonts w:ascii="Verdana" w:hAnsi="Verdana" w:cs="Calibri"/>
                <w:color w:val="000000"/>
                <w:sz w:val="20"/>
                <w:szCs w:val="20"/>
                <w:lang w:eastAsia="fr-FR"/>
              </w:rPr>
              <w:t>group”</w:t>
            </w:r>
          </w:p>
        </w:tc>
      </w:tr>
      <w:tr w:rsidR="007A228B" w:rsidTr="00AC1689">
        <w:tc>
          <w:tcPr>
            <w:tcW w:w="1542" w:type="dxa"/>
          </w:tcPr>
          <w:p w:rsidR="007A228B" w:rsidRPr="008614CE" w:rsidRDefault="007A228B" w:rsidP="00564064">
            <w:pPr>
              <w:pStyle w:val="NoSpacing"/>
              <w:jc w:val="both"/>
              <w:rPr>
                <w:rFonts w:ascii="Verdana" w:hAnsi="Verdana"/>
              </w:rPr>
            </w:pPr>
            <w:r w:rsidRPr="008614CE">
              <w:rPr>
                <w:rFonts w:ascii="Verdana" w:hAnsi="Verdana"/>
              </w:rPr>
              <w:t>Stakeholder</w:t>
            </w:r>
          </w:p>
        </w:tc>
        <w:tc>
          <w:tcPr>
            <w:tcW w:w="1657" w:type="dxa"/>
          </w:tcPr>
          <w:p w:rsidR="007A228B" w:rsidRPr="008614CE" w:rsidRDefault="007A228B" w:rsidP="00564064">
            <w:pPr>
              <w:pStyle w:val="NoSpacing"/>
              <w:jc w:val="both"/>
              <w:rPr>
                <w:rFonts w:ascii="Verdana" w:hAnsi="Verdana"/>
              </w:rPr>
            </w:pPr>
            <w:r w:rsidRPr="008614CE">
              <w:rPr>
                <w:rFonts w:ascii="Verdana" w:hAnsi="Verdana"/>
              </w:rPr>
              <w:t>S.09.01</w:t>
            </w:r>
          </w:p>
        </w:tc>
        <w:tc>
          <w:tcPr>
            <w:tcW w:w="6115" w:type="dxa"/>
          </w:tcPr>
          <w:p w:rsidR="007A228B" w:rsidRPr="008614CE" w:rsidRDefault="007A228B" w:rsidP="00564064">
            <w:pPr>
              <w:jc w:val="both"/>
              <w:rPr>
                <w:rFonts w:ascii="Verdana" w:hAnsi="Verdana" w:cs="Calibri"/>
                <w:color w:val="000000"/>
                <w:sz w:val="20"/>
                <w:szCs w:val="20"/>
                <w:lang w:eastAsia="fr-FR"/>
              </w:rPr>
            </w:pPr>
            <w:r w:rsidRPr="00E47396">
              <w:rPr>
                <w:rFonts w:ascii="Verdana" w:hAnsi="Verdana" w:cs="Calibri"/>
                <w:color w:val="000000"/>
                <w:sz w:val="20"/>
                <w:szCs w:val="20"/>
                <w:lang w:eastAsia="fr-FR"/>
              </w:rPr>
              <w:t>In the instructions for the template S.0</w:t>
            </w:r>
            <w:r>
              <w:rPr>
                <w:rFonts w:ascii="Verdana" w:hAnsi="Verdana" w:cs="Calibri"/>
                <w:color w:val="000000"/>
                <w:sz w:val="20"/>
                <w:szCs w:val="20"/>
                <w:lang w:eastAsia="fr-FR"/>
              </w:rPr>
              <w:t>9</w:t>
            </w:r>
            <w:r w:rsidRPr="00E47396">
              <w:rPr>
                <w:rFonts w:ascii="Verdana" w:hAnsi="Verdana" w:cs="Calibri"/>
                <w:color w:val="000000"/>
                <w:sz w:val="20"/>
                <w:szCs w:val="20"/>
                <w:lang w:eastAsia="fr-FR"/>
              </w:rPr>
              <w:t>.01 cells C01</w:t>
            </w:r>
            <w:r>
              <w:rPr>
                <w:rFonts w:ascii="Verdana" w:hAnsi="Verdana" w:cs="Calibri"/>
                <w:color w:val="000000"/>
                <w:sz w:val="20"/>
                <w:szCs w:val="20"/>
                <w:lang w:eastAsia="fr-FR"/>
              </w:rPr>
              <w:t>0</w:t>
            </w:r>
            <w:r w:rsidRPr="00E47396">
              <w:rPr>
                <w:rFonts w:ascii="Verdana" w:hAnsi="Verdana" w:cs="Calibri"/>
                <w:color w:val="000000"/>
                <w:sz w:val="20"/>
                <w:szCs w:val="20"/>
                <w:lang w:eastAsia="fr-FR"/>
              </w:rPr>
              <w:t>0 and C01</w:t>
            </w:r>
            <w:r>
              <w:rPr>
                <w:rFonts w:ascii="Verdana" w:hAnsi="Verdana" w:cs="Calibri"/>
                <w:color w:val="000000"/>
                <w:sz w:val="20"/>
                <w:szCs w:val="20"/>
                <w:lang w:eastAsia="fr-FR"/>
              </w:rPr>
              <w:t>1</w:t>
            </w:r>
            <w:r w:rsidRPr="00E47396">
              <w:rPr>
                <w:rFonts w:ascii="Verdana" w:hAnsi="Verdana" w:cs="Calibri"/>
                <w:color w:val="000000"/>
                <w:sz w:val="20"/>
                <w:szCs w:val="20"/>
                <w:lang w:eastAsia="fr-FR"/>
              </w:rPr>
              <w:t>0</w:t>
            </w:r>
            <w:r>
              <w:rPr>
                <w:rFonts w:ascii="Verdana" w:hAnsi="Verdana" w:cs="Calibri"/>
                <w:color w:val="000000"/>
                <w:sz w:val="20"/>
                <w:szCs w:val="20"/>
                <w:lang w:eastAsia="fr-FR"/>
              </w:rPr>
              <w:t xml:space="preserve"> </w:t>
            </w:r>
            <w:r w:rsidRPr="00E47396">
              <w:rPr>
                <w:rFonts w:ascii="Verdana" w:hAnsi="Verdana" w:cs="Calibri"/>
                <w:color w:val="000000"/>
                <w:sz w:val="20"/>
                <w:szCs w:val="20"/>
                <w:lang w:eastAsia="fr-FR"/>
              </w:rPr>
              <w:t>the word “</w:t>
            </w:r>
            <w:r w:rsidRPr="008614CE">
              <w:rPr>
                <w:rFonts w:ascii="Verdana" w:hAnsi="Verdana" w:cs="Calibri"/>
                <w:color w:val="000000"/>
                <w:sz w:val="20"/>
                <w:szCs w:val="20"/>
                <w:lang w:eastAsia="fr-FR"/>
              </w:rPr>
              <w:t>interests</w:t>
            </w:r>
            <w:r w:rsidRPr="00E47396">
              <w:rPr>
                <w:rFonts w:ascii="Verdana" w:hAnsi="Verdana" w:cs="Calibri"/>
                <w:color w:val="000000"/>
                <w:sz w:val="20"/>
                <w:szCs w:val="20"/>
                <w:lang w:eastAsia="fr-FR"/>
              </w:rPr>
              <w:t>” was replaced by the word “</w:t>
            </w:r>
            <w:r w:rsidRPr="008614CE">
              <w:rPr>
                <w:rFonts w:ascii="Verdana" w:hAnsi="Verdana" w:cs="Calibri"/>
                <w:color w:val="000000"/>
                <w:sz w:val="20"/>
                <w:szCs w:val="20"/>
                <w:lang w:eastAsia="fr-FR"/>
              </w:rPr>
              <w:t>interest</w:t>
            </w:r>
            <w:r w:rsidRPr="00E47396">
              <w:rPr>
                <w:rFonts w:ascii="Verdana" w:hAnsi="Verdana" w:cs="Calibri"/>
                <w:color w:val="000000"/>
                <w:sz w:val="20"/>
                <w:szCs w:val="20"/>
                <w:lang w:eastAsia="fr-FR"/>
              </w:rPr>
              <w:t>”.</w:t>
            </w:r>
          </w:p>
        </w:tc>
      </w:tr>
      <w:tr w:rsidR="007A228B" w:rsidTr="00AC1689">
        <w:tc>
          <w:tcPr>
            <w:tcW w:w="1542" w:type="dxa"/>
          </w:tcPr>
          <w:p w:rsidR="007A228B" w:rsidRPr="008614CE" w:rsidRDefault="007A228B" w:rsidP="00564064">
            <w:pPr>
              <w:pStyle w:val="NoSpacing"/>
              <w:jc w:val="both"/>
              <w:rPr>
                <w:rFonts w:ascii="Verdana" w:hAnsi="Verdana"/>
              </w:rPr>
            </w:pPr>
            <w:r w:rsidRPr="008614CE">
              <w:rPr>
                <w:rFonts w:ascii="Verdana" w:hAnsi="Verdana"/>
              </w:rPr>
              <w:t>Stakeholder</w:t>
            </w:r>
          </w:p>
        </w:tc>
        <w:tc>
          <w:tcPr>
            <w:tcW w:w="1657" w:type="dxa"/>
          </w:tcPr>
          <w:p w:rsidR="007A228B" w:rsidRPr="008614CE" w:rsidRDefault="007A228B" w:rsidP="00564064">
            <w:pPr>
              <w:pStyle w:val="NoSpacing"/>
              <w:jc w:val="both"/>
              <w:rPr>
                <w:rFonts w:ascii="Verdana" w:hAnsi="Verdana"/>
              </w:rPr>
            </w:pPr>
            <w:r w:rsidRPr="008614CE">
              <w:rPr>
                <w:rFonts w:ascii="Verdana" w:hAnsi="Verdana"/>
              </w:rPr>
              <w:t>S.12.01</w:t>
            </w:r>
          </w:p>
        </w:tc>
        <w:tc>
          <w:tcPr>
            <w:tcW w:w="6115" w:type="dxa"/>
          </w:tcPr>
          <w:p w:rsidR="007A228B" w:rsidRPr="000F36C6" w:rsidRDefault="007A228B" w:rsidP="00564064">
            <w:pPr>
              <w:ind w:right="72"/>
              <w:rPr>
                <w:rFonts w:ascii="Verdana" w:hAnsi="Verdana" w:cs="Calibri"/>
                <w:color w:val="000000"/>
                <w:sz w:val="20"/>
                <w:szCs w:val="20"/>
                <w:lang w:eastAsia="fr-FR"/>
              </w:rPr>
            </w:pPr>
            <w:r w:rsidRPr="008614CE">
              <w:rPr>
                <w:rFonts w:ascii="Verdana" w:hAnsi="Verdana" w:cs="Calibri"/>
                <w:color w:val="000000"/>
                <w:sz w:val="20"/>
                <w:szCs w:val="20"/>
                <w:lang w:eastAsia="fr-FR"/>
              </w:rPr>
              <w:t xml:space="preserve">Following </w:t>
            </w:r>
            <w:r>
              <w:rPr>
                <w:rFonts w:ascii="Verdana" w:hAnsi="Verdana" w:cs="Calibri"/>
                <w:color w:val="000000"/>
                <w:sz w:val="20"/>
                <w:szCs w:val="20"/>
                <w:lang w:eastAsia="fr-FR"/>
              </w:rPr>
              <w:t xml:space="preserve">the </w:t>
            </w:r>
            <w:r w:rsidRPr="008614CE">
              <w:rPr>
                <w:rFonts w:ascii="Verdana" w:hAnsi="Verdana" w:cs="Calibri"/>
                <w:color w:val="000000"/>
                <w:sz w:val="20"/>
                <w:szCs w:val="20"/>
                <w:lang w:eastAsia="fr-FR"/>
              </w:rPr>
              <w:t xml:space="preserve">clarification provided in response to Q&amp;A 509, </w:t>
            </w:r>
            <w:r>
              <w:rPr>
                <w:rFonts w:ascii="Verdana" w:hAnsi="Verdana" w:cs="Calibri"/>
                <w:color w:val="000000"/>
                <w:sz w:val="20"/>
                <w:szCs w:val="20"/>
                <w:lang w:eastAsia="fr-FR"/>
              </w:rPr>
              <w:t xml:space="preserve">the LOG for S.12.01 cell </w:t>
            </w:r>
            <w:r w:rsidRPr="000F36C6">
              <w:rPr>
                <w:rFonts w:ascii="Verdana" w:hAnsi="Verdana" w:cs="Calibri"/>
                <w:color w:val="000000"/>
                <w:sz w:val="20"/>
                <w:szCs w:val="20"/>
                <w:lang w:eastAsia="fr-FR"/>
              </w:rPr>
              <w:t>C0020, C0100/R0240</w:t>
            </w:r>
          </w:p>
          <w:p w:rsidR="007A228B" w:rsidRDefault="007A228B" w:rsidP="00564064">
            <w:pPr>
              <w:rPr>
                <w:rFonts w:ascii="Verdana" w:hAnsi="Verdana" w:cs="Calibri"/>
                <w:color w:val="000000"/>
                <w:sz w:val="20"/>
                <w:szCs w:val="20"/>
                <w:lang w:eastAsia="fr-FR"/>
              </w:rPr>
            </w:pPr>
            <w:r>
              <w:rPr>
                <w:rFonts w:ascii="Verdana" w:hAnsi="Verdana" w:cs="Calibri"/>
                <w:color w:val="000000"/>
                <w:sz w:val="20"/>
                <w:szCs w:val="20"/>
                <w:lang w:eastAsia="fr-FR"/>
              </w:rPr>
              <w:t xml:space="preserve">is updated </w:t>
            </w:r>
            <w:r w:rsidRPr="008614CE">
              <w:rPr>
                <w:rFonts w:ascii="Verdana" w:hAnsi="Verdana" w:cs="Calibri"/>
                <w:color w:val="000000"/>
                <w:sz w:val="20"/>
                <w:szCs w:val="20"/>
                <w:lang w:eastAsia="fr-FR"/>
              </w:rPr>
              <w:t>as follow</w:t>
            </w:r>
            <w:r>
              <w:rPr>
                <w:rFonts w:ascii="Verdana" w:hAnsi="Verdana" w:cs="Calibri"/>
                <w:color w:val="000000"/>
                <w:sz w:val="20"/>
                <w:szCs w:val="20"/>
                <w:lang w:eastAsia="fr-FR"/>
              </w:rPr>
              <w:t>s</w:t>
            </w:r>
            <w:r w:rsidRPr="008614CE">
              <w:rPr>
                <w:rFonts w:ascii="Verdana" w:hAnsi="Verdana" w:cs="Calibri"/>
                <w:color w:val="000000"/>
                <w:sz w:val="20"/>
                <w:szCs w:val="20"/>
                <w:lang w:eastAsia="fr-FR"/>
              </w:rPr>
              <w:t>:</w:t>
            </w:r>
          </w:p>
          <w:p w:rsidR="007A228B" w:rsidRDefault="007A228B" w:rsidP="00621574">
            <w:pPr>
              <w:pStyle w:val="ListParagraph"/>
              <w:numPr>
                <w:ilvl w:val="0"/>
                <w:numId w:val="16"/>
              </w:numPr>
              <w:ind w:left="345"/>
              <w:rPr>
                <w:rFonts w:ascii="Verdana" w:hAnsi="Verdana" w:cs="Calibri"/>
                <w:color w:val="000000"/>
                <w:sz w:val="20"/>
                <w:szCs w:val="20"/>
                <w:lang w:eastAsia="fr-FR"/>
              </w:rPr>
            </w:pPr>
            <w:r>
              <w:rPr>
                <w:rFonts w:ascii="Verdana" w:hAnsi="Verdana" w:cs="Calibri"/>
                <w:color w:val="000000"/>
                <w:sz w:val="20"/>
                <w:szCs w:val="20"/>
                <w:lang w:eastAsia="fr-FR"/>
              </w:rPr>
              <w:t xml:space="preserve">From the name of the item wording “ - </w:t>
            </w:r>
            <w:r w:rsidRPr="008614CE">
              <w:rPr>
                <w:rFonts w:ascii="Verdana" w:hAnsi="Verdana" w:cs="Calibri"/>
                <w:color w:val="000000"/>
                <w:sz w:val="20"/>
                <w:szCs w:val="20"/>
                <w:lang w:eastAsia="fr-FR"/>
              </w:rPr>
              <w:t>Insurance with profit participation</w:t>
            </w:r>
            <w:r>
              <w:rPr>
                <w:rFonts w:ascii="Verdana" w:hAnsi="Verdana" w:cs="Calibri"/>
                <w:color w:val="000000"/>
                <w:sz w:val="20"/>
                <w:szCs w:val="20"/>
                <w:lang w:eastAsia="fr-FR"/>
              </w:rPr>
              <w:t>” was deleted;</w:t>
            </w:r>
          </w:p>
          <w:p w:rsidR="007A228B" w:rsidRPr="008614CE" w:rsidRDefault="007A228B" w:rsidP="00621574">
            <w:pPr>
              <w:pStyle w:val="ListParagraph"/>
              <w:numPr>
                <w:ilvl w:val="0"/>
                <w:numId w:val="16"/>
              </w:numPr>
              <w:ind w:left="345"/>
              <w:rPr>
                <w:rFonts w:ascii="Verdana" w:hAnsi="Verdana"/>
              </w:rPr>
            </w:pPr>
            <w:r>
              <w:rPr>
                <w:rFonts w:ascii="Verdana" w:hAnsi="Verdana" w:cs="Calibri"/>
                <w:color w:val="000000"/>
                <w:sz w:val="20"/>
                <w:szCs w:val="20"/>
                <w:lang w:eastAsia="fr-FR"/>
              </w:rPr>
              <w:t>Instructions were changed to “</w:t>
            </w:r>
            <w:r w:rsidRPr="008614CE">
              <w:rPr>
                <w:rFonts w:ascii="Verdana" w:hAnsi="Verdana" w:cs="Calibri"/>
                <w:sz w:val="20"/>
                <w:szCs w:val="20"/>
              </w:rPr>
              <w:t xml:space="preserve">Amount of discounted Cash out–flows (payments to policyholders and </w:t>
            </w:r>
            <w:r w:rsidRPr="008614CE">
              <w:rPr>
                <w:rFonts w:ascii="Verdana" w:hAnsi="Verdana" w:cs="Calibri"/>
                <w:sz w:val="20"/>
                <w:szCs w:val="20"/>
                <w:lang w:eastAsia="es-ES"/>
              </w:rPr>
              <w:t>beneficiaries) for future guaranteed benefits</w:t>
            </w:r>
            <w:r w:rsidRPr="000F36C6">
              <w:rPr>
                <w:rFonts w:ascii="Verdana" w:hAnsi="Verdana" w:cs="Calibri"/>
                <w:sz w:val="20"/>
                <w:szCs w:val="20"/>
                <w:lang w:eastAsia="es-ES"/>
              </w:rPr>
              <w:t>. R</w:t>
            </w:r>
            <w:r w:rsidRPr="008614CE">
              <w:rPr>
                <w:rFonts w:ascii="Verdana" w:hAnsi="Verdana" w:cs="Calibri"/>
                <w:sz w:val="20"/>
                <w:szCs w:val="20"/>
                <w:lang w:eastAsia="es-ES"/>
              </w:rPr>
              <w:t xml:space="preserve">egarding </w:t>
            </w:r>
            <w:r w:rsidRPr="000F36C6">
              <w:rPr>
                <w:rFonts w:ascii="Verdana" w:hAnsi="Verdana" w:cs="Calibri"/>
                <w:sz w:val="20"/>
                <w:szCs w:val="20"/>
                <w:lang w:eastAsia="es-ES"/>
              </w:rPr>
              <w:t>C0020/R0240</w:t>
            </w:r>
            <w:r w:rsidRPr="008614CE">
              <w:rPr>
                <w:rFonts w:ascii="Verdana" w:hAnsi="Verdana" w:cs="Calibri"/>
                <w:sz w:val="20"/>
                <w:szCs w:val="20"/>
                <w:lang w:eastAsia="es-ES"/>
              </w:rPr>
              <w:t xml:space="preserve">, line of business, as defined in Annex I to Delegated Regulation (EU) 2015/35, “Insurance with profit participation” </w:t>
            </w:r>
            <w:r w:rsidRPr="000F36C6">
              <w:rPr>
                <w:rFonts w:ascii="Verdana" w:hAnsi="Verdana" w:cs="Calibri"/>
                <w:sz w:val="20"/>
                <w:szCs w:val="20"/>
                <w:lang w:eastAsia="es-ES"/>
              </w:rPr>
              <w:t>should be reported.  Regarding C0100/R0240 all future guaranteed benefits relating to accepted reinsurance, regardless of the line of business, should be reported.</w:t>
            </w:r>
            <w:proofErr w:type="gramStart"/>
            <w:r w:rsidRPr="000F36C6">
              <w:rPr>
                <w:rFonts w:ascii="Verdana" w:hAnsi="Verdana" w:cs="Calibri"/>
                <w:sz w:val="20"/>
                <w:szCs w:val="20"/>
                <w:lang w:eastAsia="es-ES"/>
              </w:rPr>
              <w:t>”</w:t>
            </w:r>
            <w:r>
              <w:rPr>
                <w:rFonts w:ascii="Verdana" w:hAnsi="Verdana" w:cs="Calibri"/>
                <w:sz w:val="20"/>
                <w:szCs w:val="20"/>
                <w:lang w:eastAsia="es-ES"/>
              </w:rPr>
              <w:t>.</w:t>
            </w:r>
            <w:proofErr w:type="gramEnd"/>
          </w:p>
        </w:tc>
      </w:tr>
      <w:tr w:rsidR="007A228B" w:rsidTr="00AC1689">
        <w:tc>
          <w:tcPr>
            <w:tcW w:w="1542" w:type="dxa"/>
          </w:tcPr>
          <w:p w:rsidR="007A228B" w:rsidRPr="008614CE" w:rsidRDefault="007A228B" w:rsidP="00564064">
            <w:pPr>
              <w:pStyle w:val="NoSpacing"/>
              <w:jc w:val="both"/>
              <w:rPr>
                <w:rFonts w:ascii="Verdana" w:hAnsi="Verdana"/>
              </w:rPr>
            </w:pPr>
            <w:r w:rsidRPr="008614CE">
              <w:rPr>
                <w:rFonts w:ascii="Verdana" w:hAnsi="Verdana"/>
              </w:rPr>
              <w:t>Stakeholder</w:t>
            </w:r>
          </w:p>
        </w:tc>
        <w:tc>
          <w:tcPr>
            <w:tcW w:w="1657" w:type="dxa"/>
          </w:tcPr>
          <w:p w:rsidR="007A228B" w:rsidRPr="008614CE" w:rsidRDefault="007A228B" w:rsidP="00564064">
            <w:pPr>
              <w:pStyle w:val="NoSpacing"/>
              <w:jc w:val="both"/>
              <w:rPr>
                <w:rFonts w:ascii="Verdana" w:hAnsi="Verdana"/>
              </w:rPr>
            </w:pPr>
            <w:r w:rsidRPr="008614CE">
              <w:rPr>
                <w:rFonts w:ascii="Verdana" w:hAnsi="Verdana"/>
              </w:rPr>
              <w:t>S.12.01</w:t>
            </w:r>
          </w:p>
        </w:tc>
        <w:tc>
          <w:tcPr>
            <w:tcW w:w="6115" w:type="dxa"/>
          </w:tcPr>
          <w:p w:rsidR="007A228B" w:rsidRDefault="007A228B" w:rsidP="00564064">
            <w:pPr>
              <w:tabs>
                <w:tab w:val="left" w:pos="1021"/>
              </w:tabs>
              <w:jc w:val="both"/>
              <w:rPr>
                <w:rFonts w:ascii="Verdana" w:hAnsi="Verdana" w:cs="Calibri"/>
                <w:sz w:val="20"/>
                <w:szCs w:val="20"/>
              </w:rPr>
            </w:pPr>
            <w:r>
              <w:rPr>
                <w:rFonts w:ascii="Verdana" w:hAnsi="Verdana" w:cs="Calibri"/>
                <w:sz w:val="20"/>
                <w:szCs w:val="20"/>
              </w:rPr>
              <w:t>Name of the item S.12.01.</w:t>
            </w:r>
            <w:r w:rsidRPr="00A96379">
              <w:rPr>
                <w:rFonts w:ascii="Verdana" w:hAnsi="Verdana" w:cs="Calibri"/>
                <w:sz w:val="20"/>
                <w:szCs w:val="20"/>
              </w:rPr>
              <w:t>C0150/R0320</w:t>
            </w:r>
            <w:r>
              <w:rPr>
                <w:rFonts w:ascii="Verdana" w:hAnsi="Verdana" w:cs="Calibri"/>
                <w:sz w:val="20"/>
                <w:szCs w:val="20"/>
              </w:rPr>
              <w:t xml:space="preserve"> is changed as follows:</w:t>
            </w:r>
          </w:p>
          <w:p w:rsidR="007A228B" w:rsidRPr="008614CE" w:rsidRDefault="007A228B" w:rsidP="00564064">
            <w:pPr>
              <w:tabs>
                <w:tab w:val="left" w:pos="1021"/>
              </w:tabs>
              <w:jc w:val="both"/>
              <w:rPr>
                <w:rFonts w:ascii="Verdana" w:hAnsi="Verdana"/>
              </w:rPr>
            </w:pPr>
            <w:r>
              <w:rPr>
                <w:rFonts w:ascii="Verdana" w:hAnsi="Verdana" w:cs="Calibri"/>
                <w:sz w:val="20"/>
                <w:szCs w:val="20"/>
              </w:rPr>
              <w:t>“</w:t>
            </w:r>
            <w:r w:rsidRPr="00A96379">
              <w:rPr>
                <w:rFonts w:ascii="Verdana" w:hAnsi="Verdana" w:cs="Calibri"/>
                <w:sz w:val="20"/>
                <w:szCs w:val="20"/>
              </w:rPr>
              <w:t>Technical provisions without transitional on interest rate – Total (Life other than health insurance, including Unit–Linked)</w:t>
            </w:r>
            <w:r>
              <w:rPr>
                <w:rFonts w:ascii="Verdana" w:hAnsi="Verdana" w:cs="Calibri"/>
                <w:sz w:val="20"/>
                <w:szCs w:val="20"/>
              </w:rPr>
              <w:t>”.</w:t>
            </w:r>
          </w:p>
        </w:tc>
      </w:tr>
      <w:tr w:rsidR="007A228B" w:rsidTr="00AC1689">
        <w:tc>
          <w:tcPr>
            <w:tcW w:w="1542" w:type="dxa"/>
          </w:tcPr>
          <w:p w:rsidR="007A228B" w:rsidRPr="008614CE" w:rsidRDefault="007A228B" w:rsidP="00564064">
            <w:pPr>
              <w:pStyle w:val="NoSpacing"/>
              <w:jc w:val="both"/>
              <w:rPr>
                <w:rFonts w:ascii="Verdana" w:hAnsi="Verdana"/>
              </w:rPr>
            </w:pPr>
            <w:r w:rsidRPr="008614CE">
              <w:rPr>
                <w:rFonts w:ascii="Verdana" w:hAnsi="Verdana"/>
              </w:rPr>
              <w:t>Stakeholder</w:t>
            </w:r>
          </w:p>
        </w:tc>
        <w:tc>
          <w:tcPr>
            <w:tcW w:w="1657" w:type="dxa"/>
          </w:tcPr>
          <w:p w:rsidR="007A228B" w:rsidRPr="008614CE" w:rsidRDefault="007A228B" w:rsidP="00564064">
            <w:pPr>
              <w:pStyle w:val="NoSpacing"/>
              <w:jc w:val="both"/>
              <w:rPr>
                <w:rFonts w:ascii="Verdana" w:hAnsi="Verdana"/>
              </w:rPr>
            </w:pPr>
            <w:r w:rsidRPr="008614CE">
              <w:rPr>
                <w:rFonts w:ascii="Verdana" w:hAnsi="Verdana"/>
              </w:rPr>
              <w:t>S.12.01</w:t>
            </w:r>
          </w:p>
        </w:tc>
        <w:tc>
          <w:tcPr>
            <w:tcW w:w="6115" w:type="dxa"/>
          </w:tcPr>
          <w:p w:rsidR="007A228B" w:rsidRDefault="007A228B" w:rsidP="00564064">
            <w:pPr>
              <w:tabs>
                <w:tab w:val="left" w:pos="1021"/>
              </w:tabs>
              <w:jc w:val="both"/>
              <w:rPr>
                <w:rFonts w:ascii="Verdana" w:hAnsi="Verdana" w:cs="Calibri"/>
                <w:sz w:val="20"/>
                <w:szCs w:val="20"/>
              </w:rPr>
            </w:pPr>
            <w:r>
              <w:rPr>
                <w:rFonts w:ascii="Verdana" w:hAnsi="Verdana" w:cs="Calibri"/>
                <w:sz w:val="20"/>
                <w:szCs w:val="20"/>
              </w:rPr>
              <w:t>Name of the item S.12.01.</w:t>
            </w:r>
            <w:r w:rsidRPr="00A96379">
              <w:rPr>
                <w:rFonts w:ascii="Verdana" w:hAnsi="Verdana" w:cs="Calibri"/>
                <w:sz w:val="20"/>
                <w:szCs w:val="20"/>
              </w:rPr>
              <w:t>C0</w:t>
            </w:r>
            <w:r>
              <w:rPr>
                <w:rFonts w:ascii="Verdana" w:hAnsi="Verdana" w:cs="Calibri"/>
                <w:sz w:val="20"/>
                <w:szCs w:val="20"/>
              </w:rPr>
              <w:t>21</w:t>
            </w:r>
            <w:r w:rsidRPr="00A96379">
              <w:rPr>
                <w:rFonts w:ascii="Verdana" w:hAnsi="Verdana" w:cs="Calibri"/>
                <w:sz w:val="20"/>
                <w:szCs w:val="20"/>
              </w:rPr>
              <w:t>0/R0320</w:t>
            </w:r>
            <w:r>
              <w:rPr>
                <w:rFonts w:ascii="Verdana" w:hAnsi="Verdana" w:cs="Calibri"/>
                <w:sz w:val="20"/>
                <w:szCs w:val="20"/>
              </w:rPr>
              <w:t xml:space="preserve"> is changed as follows:</w:t>
            </w:r>
          </w:p>
          <w:p w:rsidR="007A228B" w:rsidRPr="00A96379" w:rsidRDefault="007A228B" w:rsidP="00564064">
            <w:pPr>
              <w:tabs>
                <w:tab w:val="left" w:pos="1021"/>
              </w:tabs>
              <w:jc w:val="both"/>
              <w:rPr>
                <w:rFonts w:ascii="Verdana" w:hAnsi="Verdana" w:cs="Calibri"/>
                <w:b/>
                <w:color w:val="000000"/>
                <w:sz w:val="20"/>
                <w:szCs w:val="20"/>
                <w:lang w:eastAsia="fr-FR"/>
              </w:rPr>
            </w:pPr>
            <w:r>
              <w:rPr>
                <w:rFonts w:ascii="Verdana" w:hAnsi="Verdana" w:cs="Calibri"/>
                <w:sz w:val="20"/>
                <w:szCs w:val="20"/>
              </w:rPr>
              <w:t>“</w:t>
            </w:r>
            <w:r w:rsidRPr="00A96379">
              <w:rPr>
                <w:rFonts w:ascii="Verdana" w:hAnsi="Verdana" w:cs="Calibri"/>
                <w:sz w:val="20"/>
                <w:szCs w:val="20"/>
              </w:rPr>
              <w:t>Technical provisions without transitional on interest rate – Total (Health similar to life insurance)</w:t>
            </w:r>
            <w:r>
              <w:rPr>
                <w:rFonts w:ascii="Verdana" w:hAnsi="Verdana" w:cs="Calibri"/>
                <w:sz w:val="20"/>
                <w:szCs w:val="20"/>
              </w:rPr>
              <w:t>”.</w:t>
            </w:r>
          </w:p>
        </w:tc>
      </w:tr>
      <w:tr w:rsidR="007A228B" w:rsidTr="00AC1689">
        <w:tc>
          <w:tcPr>
            <w:tcW w:w="1542" w:type="dxa"/>
          </w:tcPr>
          <w:p w:rsidR="007A228B" w:rsidRPr="00940091" w:rsidRDefault="007A228B" w:rsidP="00564064">
            <w:r w:rsidRPr="00940091">
              <w:rPr>
                <w:rFonts w:ascii="Verdana" w:hAnsi="Verdana"/>
              </w:rPr>
              <w:t>EIOPA</w:t>
            </w:r>
          </w:p>
        </w:tc>
        <w:tc>
          <w:tcPr>
            <w:tcW w:w="1657" w:type="dxa"/>
          </w:tcPr>
          <w:p w:rsidR="007A228B" w:rsidRPr="00940091" w:rsidRDefault="007A228B" w:rsidP="00564064">
            <w:pPr>
              <w:pStyle w:val="NoSpacing"/>
              <w:jc w:val="both"/>
              <w:rPr>
                <w:rFonts w:ascii="Verdana" w:hAnsi="Verdana"/>
              </w:rPr>
            </w:pPr>
            <w:r w:rsidRPr="00940091">
              <w:rPr>
                <w:rFonts w:ascii="Verdana" w:hAnsi="Verdana"/>
              </w:rPr>
              <w:t>S.16.01</w:t>
            </w:r>
          </w:p>
        </w:tc>
        <w:tc>
          <w:tcPr>
            <w:tcW w:w="6115" w:type="dxa"/>
          </w:tcPr>
          <w:p w:rsidR="007A228B" w:rsidRPr="00940091" w:rsidRDefault="007A228B" w:rsidP="00564064">
            <w:pPr>
              <w:pStyle w:val="NoSpacing"/>
              <w:jc w:val="both"/>
              <w:rPr>
                <w:rFonts w:ascii="Verdana" w:hAnsi="Verdana"/>
              </w:rPr>
            </w:pPr>
            <w:r w:rsidRPr="00940091">
              <w:rPr>
                <w:rFonts w:ascii="Verdana" w:hAnsi="Verdana"/>
              </w:rPr>
              <w:t>In general comments, 4th paragraph, subparagraph (</w:t>
            </w:r>
            <w:proofErr w:type="spellStart"/>
            <w:r w:rsidRPr="00940091">
              <w:rPr>
                <w:rFonts w:ascii="Verdana" w:hAnsi="Verdana"/>
              </w:rPr>
              <w:t>i</w:t>
            </w:r>
            <w:proofErr w:type="spellEnd"/>
            <w:r w:rsidRPr="00940091">
              <w:rPr>
                <w:rFonts w:ascii="Verdana" w:hAnsi="Verdana"/>
              </w:rPr>
              <w:t xml:space="preserve">), bullet points (b) and (c), references to original currency were deleted. </w:t>
            </w:r>
          </w:p>
          <w:p w:rsidR="007A228B" w:rsidRPr="00940091" w:rsidRDefault="007A228B" w:rsidP="00564064">
            <w:pPr>
              <w:pStyle w:val="NoSpacing"/>
              <w:jc w:val="both"/>
              <w:rPr>
                <w:rFonts w:ascii="Verdana" w:hAnsi="Verdana"/>
              </w:rPr>
            </w:pPr>
            <w:r w:rsidRPr="00940091">
              <w:rPr>
                <w:rFonts w:ascii="Verdana" w:hAnsi="Verdana"/>
              </w:rPr>
              <w:t>The amounts are reported in original currency but thresholds need to be consistently applied in the reporting currency</w:t>
            </w:r>
          </w:p>
        </w:tc>
      </w:tr>
      <w:tr w:rsidR="007A228B" w:rsidTr="00AC1689">
        <w:tc>
          <w:tcPr>
            <w:tcW w:w="1542" w:type="dxa"/>
          </w:tcPr>
          <w:p w:rsidR="007A228B" w:rsidRPr="00940091" w:rsidRDefault="007A228B" w:rsidP="00564064">
            <w:r w:rsidRPr="00940091">
              <w:rPr>
                <w:rFonts w:ascii="Verdana" w:hAnsi="Verdana"/>
              </w:rPr>
              <w:t>EIOPA</w:t>
            </w:r>
          </w:p>
        </w:tc>
        <w:tc>
          <w:tcPr>
            <w:tcW w:w="1657" w:type="dxa"/>
          </w:tcPr>
          <w:p w:rsidR="007A228B" w:rsidRPr="00940091" w:rsidRDefault="007A228B" w:rsidP="00564064">
            <w:pPr>
              <w:pStyle w:val="NoSpacing"/>
              <w:jc w:val="both"/>
              <w:rPr>
                <w:rFonts w:ascii="Verdana" w:hAnsi="Verdana"/>
              </w:rPr>
            </w:pPr>
            <w:r w:rsidRPr="00940091">
              <w:rPr>
                <w:rFonts w:ascii="Verdana" w:hAnsi="Verdana"/>
              </w:rPr>
              <w:t>S.16.01</w:t>
            </w:r>
          </w:p>
        </w:tc>
        <w:tc>
          <w:tcPr>
            <w:tcW w:w="6115" w:type="dxa"/>
          </w:tcPr>
          <w:p w:rsidR="007A228B" w:rsidRPr="00940091" w:rsidRDefault="007A228B" w:rsidP="00564064">
            <w:pPr>
              <w:jc w:val="both"/>
              <w:rPr>
                <w:rFonts w:ascii="Verdana" w:hAnsi="Verdana"/>
              </w:rPr>
            </w:pPr>
            <w:r w:rsidRPr="00940091">
              <w:rPr>
                <w:rFonts w:ascii="Verdana" w:hAnsi="Verdana"/>
              </w:rPr>
              <w:t xml:space="preserve">In the instructions of S.16.01.C0020/R0040–R0190 the second sentence was misplaced there and for </w:t>
            </w:r>
            <w:r w:rsidRPr="00940091">
              <w:rPr>
                <w:rFonts w:ascii="Verdana" w:hAnsi="Verdana"/>
              </w:rPr>
              <w:lastRenderedPageBreak/>
              <w:t>that reason it was moved to S.16.01.C0030/R0040–R0190 where it belongs.</w:t>
            </w:r>
          </w:p>
        </w:tc>
      </w:tr>
      <w:tr w:rsidR="007A228B" w:rsidTr="00AC1689">
        <w:tc>
          <w:tcPr>
            <w:tcW w:w="1542" w:type="dxa"/>
          </w:tcPr>
          <w:p w:rsidR="007A228B" w:rsidRPr="00940091" w:rsidRDefault="007A228B" w:rsidP="00564064">
            <w:r w:rsidRPr="00940091">
              <w:rPr>
                <w:rFonts w:ascii="Verdana" w:hAnsi="Verdana"/>
              </w:rPr>
              <w:lastRenderedPageBreak/>
              <w:t>EIOPA</w:t>
            </w:r>
          </w:p>
        </w:tc>
        <w:tc>
          <w:tcPr>
            <w:tcW w:w="1657" w:type="dxa"/>
          </w:tcPr>
          <w:p w:rsidR="007A228B" w:rsidRPr="00940091" w:rsidRDefault="007A228B" w:rsidP="00564064">
            <w:pPr>
              <w:pStyle w:val="NoSpacing"/>
              <w:jc w:val="both"/>
              <w:rPr>
                <w:rFonts w:ascii="Verdana" w:hAnsi="Verdana"/>
              </w:rPr>
            </w:pPr>
            <w:r w:rsidRPr="00940091">
              <w:rPr>
                <w:rFonts w:ascii="Verdana" w:hAnsi="Verdana"/>
              </w:rPr>
              <w:t>S.19.01</w:t>
            </w:r>
          </w:p>
        </w:tc>
        <w:tc>
          <w:tcPr>
            <w:tcW w:w="6115" w:type="dxa"/>
          </w:tcPr>
          <w:p w:rsidR="007A228B" w:rsidRPr="00940091" w:rsidRDefault="007A228B" w:rsidP="00564064">
            <w:pPr>
              <w:pStyle w:val="NoSpacing"/>
              <w:jc w:val="both"/>
              <w:rPr>
                <w:rFonts w:ascii="Verdana" w:hAnsi="Verdana"/>
              </w:rPr>
            </w:pPr>
            <w:r w:rsidRPr="00940091">
              <w:rPr>
                <w:rFonts w:ascii="Verdana" w:hAnsi="Verdana"/>
              </w:rPr>
              <w:t xml:space="preserve">In general comments, 4th paragraph, subparagraph (ii), bullet points (b) and (c), references to original currency were deleted. </w:t>
            </w:r>
          </w:p>
          <w:p w:rsidR="007A228B" w:rsidRPr="008614CE" w:rsidRDefault="007A228B" w:rsidP="00564064">
            <w:pPr>
              <w:pStyle w:val="NoSpacing"/>
              <w:jc w:val="both"/>
              <w:rPr>
                <w:rFonts w:ascii="Verdana" w:hAnsi="Verdana"/>
              </w:rPr>
            </w:pPr>
            <w:r w:rsidRPr="00940091">
              <w:rPr>
                <w:rFonts w:ascii="Verdana" w:hAnsi="Verdana"/>
              </w:rPr>
              <w:t>The amounts are reported in original currency but thresholds need to be consistently applied in the reporting currency</w:t>
            </w:r>
          </w:p>
        </w:tc>
      </w:tr>
      <w:tr w:rsidR="007A228B" w:rsidTr="00AC1689">
        <w:tc>
          <w:tcPr>
            <w:tcW w:w="1542" w:type="dxa"/>
          </w:tcPr>
          <w:p w:rsidR="007A228B" w:rsidRPr="008614CE" w:rsidRDefault="007A228B" w:rsidP="00564064">
            <w:r w:rsidRPr="008614CE">
              <w:rPr>
                <w:rFonts w:ascii="Verdana" w:hAnsi="Verdana"/>
              </w:rPr>
              <w:t>EIOPA</w:t>
            </w:r>
          </w:p>
        </w:tc>
        <w:tc>
          <w:tcPr>
            <w:tcW w:w="1657" w:type="dxa"/>
          </w:tcPr>
          <w:p w:rsidR="007A228B" w:rsidRPr="008614CE" w:rsidRDefault="007A228B" w:rsidP="00564064">
            <w:pPr>
              <w:pStyle w:val="NoSpacing"/>
              <w:jc w:val="both"/>
              <w:rPr>
                <w:rFonts w:ascii="Verdana" w:hAnsi="Verdana"/>
              </w:rPr>
            </w:pPr>
            <w:r w:rsidRPr="008614CE">
              <w:rPr>
                <w:rFonts w:ascii="Verdana" w:hAnsi="Verdana"/>
              </w:rPr>
              <w:t>S.19.01</w:t>
            </w:r>
          </w:p>
        </w:tc>
        <w:tc>
          <w:tcPr>
            <w:tcW w:w="6115" w:type="dxa"/>
          </w:tcPr>
          <w:p w:rsidR="007A228B" w:rsidRDefault="007A228B" w:rsidP="00564064">
            <w:pPr>
              <w:jc w:val="both"/>
              <w:rPr>
                <w:rFonts w:ascii="Verdana" w:hAnsi="Verdana"/>
              </w:rPr>
            </w:pPr>
            <w:r>
              <w:rPr>
                <w:rFonts w:ascii="Verdana" w:hAnsi="Verdana"/>
              </w:rPr>
              <w:t>In the instructions for the items</w:t>
            </w:r>
          </w:p>
          <w:p w:rsidR="007A228B" w:rsidRDefault="007A228B" w:rsidP="00564064">
            <w:pPr>
              <w:jc w:val="both"/>
              <w:rPr>
                <w:rFonts w:ascii="Verdana" w:hAnsi="Verdana"/>
              </w:rPr>
            </w:pPr>
            <w:r w:rsidRPr="008614CE">
              <w:rPr>
                <w:rFonts w:ascii="Verdana" w:hAnsi="Verdana"/>
              </w:rPr>
              <w:t>C0560/ R0100 to R0260</w:t>
            </w:r>
          </w:p>
          <w:p w:rsidR="007A228B" w:rsidRDefault="007A228B" w:rsidP="00564064">
            <w:pPr>
              <w:jc w:val="both"/>
              <w:rPr>
                <w:rFonts w:ascii="Verdana" w:hAnsi="Verdana"/>
              </w:rPr>
            </w:pPr>
            <w:r w:rsidRPr="008614CE">
              <w:rPr>
                <w:rFonts w:ascii="Verdana" w:hAnsi="Verdana"/>
              </w:rPr>
              <w:t>C1160/ R0300 to R0460</w:t>
            </w:r>
            <w:r>
              <w:rPr>
                <w:rFonts w:ascii="Verdana" w:hAnsi="Verdana"/>
              </w:rPr>
              <w:t xml:space="preserve"> and</w:t>
            </w:r>
          </w:p>
          <w:p w:rsidR="007A228B" w:rsidRDefault="007A228B" w:rsidP="00564064">
            <w:pPr>
              <w:jc w:val="both"/>
              <w:rPr>
                <w:rFonts w:ascii="Verdana" w:hAnsi="Verdana"/>
              </w:rPr>
            </w:pPr>
            <w:r w:rsidRPr="008614CE">
              <w:rPr>
                <w:rFonts w:ascii="Verdana" w:hAnsi="Verdana"/>
              </w:rPr>
              <w:t>C1760/ R0500 to R0660</w:t>
            </w:r>
          </w:p>
          <w:p w:rsidR="007A228B" w:rsidRDefault="007A228B" w:rsidP="00564064">
            <w:pPr>
              <w:jc w:val="both"/>
              <w:rPr>
                <w:rFonts w:ascii="Verdana" w:hAnsi="Verdana"/>
              </w:rPr>
            </w:pPr>
            <w:proofErr w:type="gramStart"/>
            <w:r>
              <w:rPr>
                <w:rFonts w:ascii="Verdana" w:hAnsi="Verdana"/>
              </w:rPr>
              <w:t>now</w:t>
            </w:r>
            <w:proofErr w:type="gramEnd"/>
            <w:r>
              <w:rPr>
                <w:rFonts w:ascii="Verdana" w:hAnsi="Verdana"/>
              </w:rPr>
              <w:t xml:space="preserve"> it is clarified </w:t>
            </w:r>
            <w:r w:rsidRPr="008614CE">
              <w:rPr>
                <w:rFonts w:ascii="Verdana" w:hAnsi="Verdana"/>
              </w:rPr>
              <w:t xml:space="preserve">that </w:t>
            </w:r>
            <w:r>
              <w:rPr>
                <w:rFonts w:ascii="Verdana" w:hAnsi="Verdana"/>
              </w:rPr>
              <w:t xml:space="preserve">amounts </w:t>
            </w:r>
            <w:r w:rsidRPr="008614CE">
              <w:rPr>
                <w:rFonts w:ascii="Verdana" w:hAnsi="Verdana"/>
              </w:rPr>
              <w:t>are discounted</w:t>
            </w:r>
            <w:r>
              <w:rPr>
                <w:rFonts w:ascii="Verdana" w:hAnsi="Verdana"/>
              </w:rPr>
              <w:t>. For the same items the name was changed by adding “(discounted data)” at the end of the name.</w:t>
            </w:r>
          </w:p>
          <w:p w:rsidR="007A228B" w:rsidRDefault="007A228B" w:rsidP="00564064">
            <w:pPr>
              <w:jc w:val="both"/>
              <w:rPr>
                <w:rFonts w:ascii="Verdana" w:hAnsi="Verdana"/>
              </w:rPr>
            </w:pPr>
          </w:p>
          <w:p w:rsidR="007A228B" w:rsidRPr="008614CE" w:rsidRDefault="007A228B" w:rsidP="00564064">
            <w:pPr>
              <w:jc w:val="both"/>
              <w:rPr>
                <w:rFonts w:ascii="Verdana" w:hAnsi="Verdana"/>
              </w:rPr>
            </w:pPr>
            <w:r>
              <w:rPr>
                <w:rFonts w:ascii="Verdana" w:hAnsi="Verdana"/>
              </w:rPr>
              <w:t>This is in</w:t>
            </w:r>
            <w:r w:rsidRPr="008614CE">
              <w:rPr>
                <w:rFonts w:ascii="Verdana" w:hAnsi="Verdana"/>
              </w:rPr>
              <w:t xml:space="preserve"> line with Q&amp;A 748 that also the issue of case-by-case reserving.</w:t>
            </w:r>
          </w:p>
        </w:tc>
      </w:tr>
      <w:tr w:rsidR="007A228B" w:rsidTr="00AC1689">
        <w:tc>
          <w:tcPr>
            <w:tcW w:w="1542" w:type="dxa"/>
          </w:tcPr>
          <w:p w:rsidR="007A228B" w:rsidRPr="008614CE" w:rsidRDefault="007A228B" w:rsidP="00564064">
            <w:r w:rsidRPr="008614CE">
              <w:rPr>
                <w:rFonts w:ascii="Verdana" w:hAnsi="Verdana"/>
              </w:rPr>
              <w:t>EIOPA</w:t>
            </w:r>
          </w:p>
        </w:tc>
        <w:tc>
          <w:tcPr>
            <w:tcW w:w="1657" w:type="dxa"/>
          </w:tcPr>
          <w:p w:rsidR="007A228B" w:rsidRPr="008614CE" w:rsidRDefault="007A228B" w:rsidP="00564064">
            <w:pPr>
              <w:pStyle w:val="NoSpacing"/>
              <w:jc w:val="both"/>
              <w:rPr>
                <w:rFonts w:ascii="Verdana" w:hAnsi="Verdana"/>
              </w:rPr>
            </w:pPr>
            <w:r w:rsidRPr="008614CE">
              <w:rPr>
                <w:rFonts w:ascii="Verdana" w:hAnsi="Verdana"/>
              </w:rPr>
              <w:t>S.19.01</w:t>
            </w:r>
          </w:p>
        </w:tc>
        <w:tc>
          <w:tcPr>
            <w:tcW w:w="6115" w:type="dxa"/>
          </w:tcPr>
          <w:p w:rsidR="007A228B" w:rsidRDefault="007A228B" w:rsidP="00564064">
            <w:pPr>
              <w:pStyle w:val="NoSpacing"/>
              <w:jc w:val="both"/>
              <w:rPr>
                <w:rFonts w:ascii="Verdana" w:hAnsi="Verdana"/>
              </w:rPr>
            </w:pPr>
            <w:r>
              <w:rPr>
                <w:rFonts w:ascii="Verdana" w:hAnsi="Verdana"/>
              </w:rPr>
              <w:t>In S.19.01.</w:t>
            </w:r>
            <w:r w:rsidRPr="008614CE">
              <w:rPr>
                <w:rFonts w:ascii="Verdana" w:hAnsi="Verdana"/>
              </w:rPr>
              <w:t>C0600 to C0750/R0300 to R0450</w:t>
            </w:r>
            <w:r>
              <w:rPr>
                <w:rFonts w:ascii="Verdana" w:hAnsi="Verdana"/>
              </w:rPr>
              <w:t xml:space="preserve"> word “received” was deleted from the name of the item as it was misleading. </w:t>
            </w:r>
          </w:p>
          <w:p w:rsidR="007A228B" w:rsidRDefault="007A228B" w:rsidP="00564064">
            <w:pPr>
              <w:pStyle w:val="NoSpacing"/>
              <w:jc w:val="both"/>
              <w:rPr>
                <w:rFonts w:ascii="Verdana" w:hAnsi="Verdana"/>
              </w:rPr>
            </w:pPr>
          </w:p>
          <w:p w:rsidR="007A228B" w:rsidRDefault="007A228B" w:rsidP="00564064">
            <w:pPr>
              <w:pStyle w:val="NoSpacing"/>
              <w:jc w:val="both"/>
              <w:rPr>
                <w:rFonts w:ascii="Verdana" w:hAnsi="Verdana"/>
              </w:rPr>
            </w:pPr>
            <w:r>
              <w:rPr>
                <w:rFonts w:ascii="Verdana" w:hAnsi="Verdana"/>
              </w:rPr>
              <w:t>In the instructions c</w:t>
            </w:r>
            <w:r w:rsidRPr="008614CE">
              <w:rPr>
                <w:rFonts w:ascii="Verdana" w:hAnsi="Verdana"/>
              </w:rPr>
              <w:t xml:space="preserve">larification that </w:t>
            </w:r>
            <w:r>
              <w:rPr>
                <w:rFonts w:ascii="Verdana" w:hAnsi="Verdana"/>
              </w:rPr>
              <w:t xml:space="preserve">reinsurance recoveries include </w:t>
            </w:r>
            <w:r w:rsidRPr="008614CE">
              <w:rPr>
                <w:rFonts w:ascii="Verdana" w:hAnsi="Verdana"/>
              </w:rPr>
              <w:t>claims paid by reinsurer plus reinsurance recoverables</w:t>
            </w:r>
            <w:r>
              <w:rPr>
                <w:rFonts w:ascii="Verdana" w:hAnsi="Verdana"/>
              </w:rPr>
              <w:t xml:space="preserve"> was done as follows:</w:t>
            </w:r>
          </w:p>
          <w:p w:rsidR="007A228B" w:rsidRDefault="007A228B" w:rsidP="00564064">
            <w:pPr>
              <w:pStyle w:val="NoSpacing"/>
              <w:jc w:val="both"/>
              <w:rPr>
                <w:rFonts w:ascii="Verdana" w:hAnsi="Verdana"/>
              </w:rPr>
            </w:pPr>
          </w:p>
          <w:p w:rsidR="007A228B" w:rsidRPr="00861523" w:rsidRDefault="007A228B" w:rsidP="00564064">
            <w:pPr>
              <w:pStyle w:val="NoSpacing"/>
              <w:jc w:val="both"/>
              <w:rPr>
                <w:rFonts w:ascii="Verdana" w:hAnsi="Verdana"/>
              </w:rPr>
            </w:pPr>
            <w:r>
              <w:rPr>
                <w:rFonts w:ascii="Verdana" w:hAnsi="Verdana"/>
              </w:rPr>
              <w:t>“</w:t>
            </w:r>
            <w:r w:rsidRPr="00861523">
              <w:rPr>
                <w:rFonts w:ascii="Verdana" w:hAnsi="Verdana"/>
              </w:rPr>
              <w:t xml:space="preserve">Triangles for each of the accident/underwriting years from N–14 (and prior) and all previous reporting periods to – including – N (last reporting year) of payments (claims paid by reinsurer plus reinsurance recoverables), reported in the “Gross Claims Paid (non–cumulative)”, covered by a reinsurance contract. </w:t>
            </w:r>
          </w:p>
          <w:p w:rsidR="007A228B" w:rsidRPr="008614CE" w:rsidRDefault="007A228B" w:rsidP="00564064">
            <w:pPr>
              <w:pStyle w:val="NoSpacing"/>
              <w:jc w:val="both"/>
              <w:rPr>
                <w:rFonts w:ascii="Verdana" w:hAnsi="Verdana"/>
              </w:rPr>
            </w:pPr>
            <w:r w:rsidRPr="00861523">
              <w:rPr>
                <w:rFonts w:ascii="Verdana" w:hAnsi="Verdana"/>
              </w:rPr>
              <w:t>The amounts of reinsurance recoverables shall be considered after the adjustment for the counterparty default.</w:t>
            </w:r>
            <w:proofErr w:type="gramStart"/>
            <w:r>
              <w:rPr>
                <w:rFonts w:ascii="Verdana" w:hAnsi="Verdana"/>
              </w:rPr>
              <w:t>”</w:t>
            </w:r>
            <w:r w:rsidRPr="008614CE">
              <w:rPr>
                <w:rFonts w:ascii="Verdana" w:hAnsi="Verdana"/>
              </w:rPr>
              <w:t>.</w:t>
            </w:r>
            <w:proofErr w:type="gramEnd"/>
          </w:p>
        </w:tc>
      </w:tr>
      <w:tr w:rsidR="007A228B" w:rsidTr="00AC1689">
        <w:tc>
          <w:tcPr>
            <w:tcW w:w="1542" w:type="dxa"/>
          </w:tcPr>
          <w:p w:rsidR="007A228B" w:rsidRPr="008614CE" w:rsidRDefault="007A228B" w:rsidP="00564064">
            <w:pPr>
              <w:pStyle w:val="NoSpacing"/>
              <w:jc w:val="both"/>
              <w:rPr>
                <w:rFonts w:ascii="Verdana" w:hAnsi="Verdana"/>
              </w:rPr>
            </w:pPr>
            <w:r w:rsidRPr="008614CE">
              <w:rPr>
                <w:rFonts w:ascii="Verdana" w:hAnsi="Verdana"/>
              </w:rPr>
              <w:t>Stakeholder</w:t>
            </w:r>
          </w:p>
        </w:tc>
        <w:tc>
          <w:tcPr>
            <w:tcW w:w="1657" w:type="dxa"/>
          </w:tcPr>
          <w:p w:rsidR="007A228B" w:rsidRDefault="007A228B" w:rsidP="00564064">
            <w:pPr>
              <w:pStyle w:val="NoSpacing"/>
              <w:jc w:val="both"/>
              <w:rPr>
                <w:rFonts w:ascii="Verdana" w:hAnsi="Verdana"/>
              </w:rPr>
            </w:pPr>
            <w:r w:rsidRPr="008614CE">
              <w:rPr>
                <w:rFonts w:ascii="Verdana" w:hAnsi="Verdana"/>
              </w:rPr>
              <w:t>S.22.01</w:t>
            </w:r>
          </w:p>
          <w:p w:rsidR="007A228B" w:rsidRPr="008614CE" w:rsidRDefault="007A228B" w:rsidP="00564064">
            <w:pPr>
              <w:pStyle w:val="NoSpacing"/>
              <w:jc w:val="both"/>
              <w:rPr>
                <w:rFonts w:ascii="Verdana" w:hAnsi="Verdana"/>
              </w:rPr>
            </w:pPr>
            <w:r>
              <w:rPr>
                <w:rFonts w:ascii="Verdana" w:hAnsi="Verdana"/>
              </w:rPr>
              <w:t>Groups</w:t>
            </w:r>
          </w:p>
        </w:tc>
        <w:tc>
          <w:tcPr>
            <w:tcW w:w="6115" w:type="dxa"/>
          </w:tcPr>
          <w:p w:rsidR="007A228B" w:rsidRDefault="007A228B" w:rsidP="00564064">
            <w:pPr>
              <w:jc w:val="both"/>
              <w:rPr>
                <w:rFonts w:ascii="Verdana" w:hAnsi="Verdana"/>
                <w:bCs/>
                <w:color w:val="000000"/>
                <w:sz w:val="20"/>
                <w:szCs w:val="20"/>
              </w:rPr>
            </w:pPr>
            <w:r>
              <w:rPr>
                <w:rFonts w:ascii="Verdana" w:hAnsi="Verdana"/>
                <w:bCs/>
                <w:color w:val="000000"/>
                <w:sz w:val="20"/>
                <w:szCs w:val="20"/>
              </w:rPr>
              <w:t>At the end of the third paragraph of the general comments in the group LOG the following was added:</w:t>
            </w:r>
          </w:p>
          <w:p w:rsidR="007A228B" w:rsidRPr="005E59FA" w:rsidRDefault="007A228B" w:rsidP="00564064">
            <w:pPr>
              <w:jc w:val="both"/>
              <w:rPr>
                <w:rFonts w:ascii="Verdana" w:hAnsi="Verdana"/>
                <w:bCs/>
                <w:color w:val="000000"/>
                <w:sz w:val="20"/>
                <w:szCs w:val="20"/>
              </w:rPr>
            </w:pPr>
            <w:r>
              <w:rPr>
                <w:rFonts w:ascii="Verdana" w:hAnsi="Verdana"/>
                <w:bCs/>
                <w:color w:val="000000"/>
                <w:sz w:val="20"/>
                <w:szCs w:val="20"/>
              </w:rPr>
              <w:t>“</w:t>
            </w:r>
            <w:r w:rsidRPr="005E59FA">
              <w:rPr>
                <w:rFonts w:ascii="Verdana" w:hAnsi="Verdana"/>
                <w:bCs/>
                <w:color w:val="000000"/>
                <w:sz w:val="20"/>
                <w:szCs w:val="20"/>
              </w:rPr>
              <w:t>As it is possible within a group for both types of transitional measure to be applied the template follows a cumulative step by step approach</w:t>
            </w:r>
            <w:r>
              <w:rPr>
                <w:rFonts w:ascii="Verdana" w:hAnsi="Verdana"/>
                <w:bCs/>
                <w:color w:val="000000"/>
                <w:sz w:val="20"/>
                <w:szCs w:val="20"/>
              </w:rPr>
              <w:t>”.</w:t>
            </w:r>
          </w:p>
        </w:tc>
      </w:tr>
      <w:tr w:rsidR="007A228B" w:rsidTr="00AC1689">
        <w:tc>
          <w:tcPr>
            <w:tcW w:w="1542" w:type="dxa"/>
          </w:tcPr>
          <w:p w:rsidR="007A228B" w:rsidRPr="008614CE" w:rsidRDefault="0099719D" w:rsidP="00564064">
            <w:pPr>
              <w:pStyle w:val="NoSpacing"/>
              <w:jc w:val="both"/>
              <w:rPr>
                <w:rFonts w:ascii="Verdana" w:hAnsi="Verdana"/>
              </w:rPr>
            </w:pPr>
            <w:r>
              <w:rPr>
                <w:rFonts w:ascii="Verdana" w:hAnsi="Verdana"/>
              </w:rPr>
              <w:t>EIOPA</w:t>
            </w:r>
          </w:p>
        </w:tc>
        <w:tc>
          <w:tcPr>
            <w:tcW w:w="1657" w:type="dxa"/>
          </w:tcPr>
          <w:p w:rsidR="007A228B" w:rsidRPr="008614CE" w:rsidRDefault="0099719D" w:rsidP="00564064">
            <w:pPr>
              <w:pStyle w:val="NoSpacing"/>
              <w:jc w:val="both"/>
              <w:rPr>
                <w:rFonts w:ascii="Verdana" w:hAnsi="Verdana"/>
              </w:rPr>
            </w:pPr>
            <w:r>
              <w:rPr>
                <w:rFonts w:ascii="Verdana" w:hAnsi="Verdana"/>
              </w:rPr>
              <w:t>S.22.01</w:t>
            </w:r>
          </w:p>
        </w:tc>
        <w:tc>
          <w:tcPr>
            <w:tcW w:w="6115" w:type="dxa"/>
          </w:tcPr>
          <w:p w:rsidR="007A228B" w:rsidRPr="008614CE" w:rsidRDefault="0099719D" w:rsidP="00564064">
            <w:pPr>
              <w:tabs>
                <w:tab w:val="left" w:pos="1021"/>
              </w:tabs>
              <w:jc w:val="both"/>
              <w:rPr>
                <w:rFonts w:ascii="Verdana" w:hAnsi="Verdana"/>
              </w:rPr>
            </w:pPr>
            <w:r w:rsidRPr="0099719D">
              <w:rPr>
                <w:rFonts w:ascii="Verdana" w:hAnsi="Verdana"/>
              </w:rPr>
              <w:t>Second sentence of the third paragraph of the general comments was amended in order to clarify that a cumulative step–by–step approach should be followed taking out each transitional and LTG measure one by one and without recalculating the impact of the remaining measures after each step.</w:t>
            </w:r>
          </w:p>
        </w:tc>
      </w:tr>
      <w:tr w:rsidR="007A228B" w:rsidTr="00AC1689">
        <w:tc>
          <w:tcPr>
            <w:tcW w:w="1542" w:type="dxa"/>
          </w:tcPr>
          <w:p w:rsidR="007A228B" w:rsidRPr="008614CE" w:rsidRDefault="00621574" w:rsidP="00564064">
            <w:pPr>
              <w:pStyle w:val="NoSpacing"/>
              <w:jc w:val="both"/>
              <w:rPr>
                <w:rFonts w:ascii="Verdana" w:hAnsi="Verdana"/>
              </w:rPr>
            </w:pPr>
            <w:r w:rsidRPr="008614CE">
              <w:rPr>
                <w:rFonts w:ascii="Verdana" w:hAnsi="Verdana"/>
              </w:rPr>
              <w:t>Stakeholder</w:t>
            </w:r>
          </w:p>
        </w:tc>
        <w:tc>
          <w:tcPr>
            <w:tcW w:w="1657" w:type="dxa"/>
          </w:tcPr>
          <w:p w:rsidR="007A228B" w:rsidRPr="008614CE" w:rsidRDefault="00621574" w:rsidP="00564064">
            <w:pPr>
              <w:pStyle w:val="NoSpacing"/>
              <w:jc w:val="both"/>
              <w:rPr>
                <w:rFonts w:ascii="Verdana" w:hAnsi="Verdana"/>
              </w:rPr>
            </w:pPr>
            <w:r w:rsidRPr="00621574">
              <w:rPr>
                <w:rFonts w:ascii="Verdana" w:hAnsi="Verdana"/>
              </w:rPr>
              <w:t>S.22.05</w:t>
            </w:r>
          </w:p>
        </w:tc>
        <w:tc>
          <w:tcPr>
            <w:tcW w:w="6115" w:type="dxa"/>
          </w:tcPr>
          <w:p w:rsidR="00621574" w:rsidRPr="00621574" w:rsidRDefault="00621574" w:rsidP="00621574">
            <w:pPr>
              <w:tabs>
                <w:tab w:val="left" w:pos="1021"/>
              </w:tabs>
              <w:jc w:val="both"/>
              <w:rPr>
                <w:rFonts w:ascii="Verdana" w:hAnsi="Verdana"/>
                <w:bCs/>
                <w:color w:val="000000"/>
                <w:sz w:val="20"/>
                <w:szCs w:val="20"/>
              </w:rPr>
            </w:pPr>
            <w:r w:rsidRPr="00621574">
              <w:rPr>
                <w:rFonts w:ascii="Verdana" w:hAnsi="Verdana"/>
                <w:bCs/>
                <w:color w:val="000000"/>
                <w:sz w:val="20"/>
                <w:szCs w:val="20"/>
              </w:rPr>
              <w:t>Instructions of the item C0010/R0070 - Limitation applied in accordance to Article 308d(4) are amended as follows:</w:t>
            </w:r>
          </w:p>
          <w:p w:rsidR="00621574" w:rsidRPr="00621574" w:rsidRDefault="00621574" w:rsidP="00621574">
            <w:pPr>
              <w:tabs>
                <w:tab w:val="left" w:pos="1021"/>
              </w:tabs>
              <w:jc w:val="both"/>
              <w:rPr>
                <w:rFonts w:ascii="Verdana" w:hAnsi="Verdana"/>
                <w:bCs/>
                <w:color w:val="000000"/>
                <w:sz w:val="20"/>
                <w:szCs w:val="20"/>
              </w:rPr>
            </w:pPr>
          </w:p>
          <w:p w:rsidR="007A228B" w:rsidRPr="00A96379" w:rsidRDefault="00621574" w:rsidP="00621574">
            <w:pPr>
              <w:tabs>
                <w:tab w:val="left" w:pos="1021"/>
              </w:tabs>
              <w:jc w:val="both"/>
              <w:rPr>
                <w:rFonts w:ascii="Verdana" w:hAnsi="Verdana" w:cs="Calibri"/>
                <w:b/>
                <w:color w:val="000000"/>
                <w:sz w:val="20"/>
                <w:szCs w:val="20"/>
                <w:lang w:eastAsia="fr-FR"/>
              </w:rPr>
            </w:pPr>
            <w:r w:rsidRPr="00621574">
              <w:rPr>
                <w:rFonts w:ascii="Verdana" w:hAnsi="Verdana"/>
                <w:bCs/>
                <w:color w:val="000000"/>
                <w:sz w:val="20"/>
                <w:szCs w:val="20"/>
              </w:rPr>
              <w:t>“If no limitation the amount calculated as R0060*(R0010-R0050) should be reported.”</w:t>
            </w:r>
          </w:p>
        </w:tc>
      </w:tr>
      <w:tr w:rsidR="00621574" w:rsidTr="00AC1689">
        <w:tc>
          <w:tcPr>
            <w:tcW w:w="1542" w:type="dxa"/>
          </w:tcPr>
          <w:p w:rsidR="00621574" w:rsidRPr="008614CE" w:rsidRDefault="00AC1689" w:rsidP="00564064">
            <w:pPr>
              <w:pStyle w:val="NoSpacing"/>
              <w:jc w:val="both"/>
              <w:rPr>
                <w:rFonts w:ascii="Verdana" w:hAnsi="Verdana"/>
              </w:rPr>
            </w:pPr>
            <w:r w:rsidRPr="008614CE">
              <w:rPr>
                <w:rFonts w:ascii="Verdana" w:hAnsi="Verdana"/>
              </w:rPr>
              <w:lastRenderedPageBreak/>
              <w:t>Stakeholder</w:t>
            </w:r>
          </w:p>
        </w:tc>
        <w:tc>
          <w:tcPr>
            <w:tcW w:w="1657" w:type="dxa"/>
          </w:tcPr>
          <w:p w:rsidR="00621574" w:rsidRPr="008614CE" w:rsidRDefault="00AC1689" w:rsidP="00564064">
            <w:pPr>
              <w:pStyle w:val="NoSpacing"/>
              <w:jc w:val="both"/>
              <w:rPr>
                <w:rFonts w:ascii="Verdana" w:hAnsi="Verdana"/>
                <w:bCs/>
                <w:color w:val="000000"/>
                <w:sz w:val="20"/>
                <w:szCs w:val="20"/>
              </w:rPr>
            </w:pPr>
            <w:r w:rsidRPr="00621574">
              <w:rPr>
                <w:rFonts w:ascii="Verdana" w:hAnsi="Verdana"/>
              </w:rPr>
              <w:t>S.22.05</w:t>
            </w:r>
          </w:p>
        </w:tc>
        <w:tc>
          <w:tcPr>
            <w:tcW w:w="6115" w:type="dxa"/>
          </w:tcPr>
          <w:p w:rsidR="00621574" w:rsidRDefault="00AC1689" w:rsidP="00564064">
            <w:pPr>
              <w:jc w:val="both"/>
              <w:rPr>
                <w:rFonts w:ascii="Verdana" w:hAnsi="Verdana"/>
              </w:rPr>
            </w:pPr>
            <w:r w:rsidRPr="00AC1689">
              <w:rPr>
                <w:rFonts w:ascii="Verdana" w:hAnsi="Verdana"/>
              </w:rPr>
              <w:t>In the item C0010/R0020 last paragraph was deleted.</w:t>
            </w:r>
          </w:p>
          <w:p w:rsidR="00AC1689" w:rsidRDefault="00AC1689" w:rsidP="00564064">
            <w:pPr>
              <w:jc w:val="both"/>
              <w:rPr>
                <w:rFonts w:ascii="Verdana" w:hAnsi="Verdana"/>
              </w:rPr>
            </w:pPr>
            <w:r w:rsidRPr="00AC1689">
              <w:rPr>
                <w:rFonts w:ascii="Verdana" w:hAnsi="Verdana"/>
              </w:rPr>
              <w:t>These cells show the technical provisions before transitional (split TP as a whole, BEL and Risk Margin) that are in scope of the undertaking’s TMTP, at the reporting date. As these cells show the value at the reporting date, they will only include policies still in force at the reporting date. Such policies must also have been in force at the recalculation reference date, and hence the second paragraph in the instructions should be deleted. A recalculation of the TMTP would not impact these values.</w:t>
            </w:r>
          </w:p>
        </w:tc>
      </w:tr>
      <w:tr w:rsidR="00AC1689" w:rsidTr="00AC1689">
        <w:tc>
          <w:tcPr>
            <w:tcW w:w="1542" w:type="dxa"/>
          </w:tcPr>
          <w:p w:rsidR="00AC1689" w:rsidRPr="008614CE" w:rsidRDefault="00AC1689" w:rsidP="00564064">
            <w:pPr>
              <w:pStyle w:val="NoSpacing"/>
              <w:jc w:val="both"/>
              <w:rPr>
                <w:rFonts w:ascii="Verdana" w:hAnsi="Verdana"/>
              </w:rPr>
            </w:pPr>
            <w:r w:rsidRPr="008614CE">
              <w:rPr>
                <w:rFonts w:ascii="Verdana" w:hAnsi="Verdana"/>
              </w:rPr>
              <w:t>Stakeholder</w:t>
            </w:r>
          </w:p>
        </w:tc>
        <w:tc>
          <w:tcPr>
            <w:tcW w:w="1657" w:type="dxa"/>
          </w:tcPr>
          <w:p w:rsidR="00AC1689" w:rsidRPr="008614CE" w:rsidRDefault="00AC1689" w:rsidP="00564064">
            <w:pPr>
              <w:pStyle w:val="NoSpacing"/>
              <w:jc w:val="both"/>
              <w:rPr>
                <w:rFonts w:ascii="Verdana" w:hAnsi="Verdana"/>
                <w:bCs/>
                <w:color w:val="000000"/>
                <w:sz w:val="20"/>
                <w:szCs w:val="20"/>
              </w:rPr>
            </w:pPr>
            <w:r w:rsidRPr="00621574">
              <w:rPr>
                <w:rFonts w:ascii="Verdana" w:hAnsi="Verdana"/>
              </w:rPr>
              <w:t>S.22.05</w:t>
            </w:r>
          </w:p>
        </w:tc>
        <w:tc>
          <w:tcPr>
            <w:tcW w:w="6115" w:type="dxa"/>
          </w:tcPr>
          <w:p w:rsidR="00AC1689" w:rsidRDefault="00AC1689" w:rsidP="00AC1689">
            <w:pPr>
              <w:jc w:val="both"/>
              <w:rPr>
                <w:rFonts w:ascii="Verdana" w:hAnsi="Verdana"/>
              </w:rPr>
            </w:pPr>
            <w:r w:rsidRPr="00AC1689">
              <w:rPr>
                <w:rFonts w:ascii="Verdana" w:hAnsi="Verdana"/>
              </w:rPr>
              <w:t xml:space="preserve">References to valuation at reporting date </w:t>
            </w:r>
            <w:r>
              <w:rPr>
                <w:rFonts w:ascii="Verdana" w:hAnsi="Verdana"/>
              </w:rPr>
              <w:t xml:space="preserve">are </w:t>
            </w:r>
            <w:r w:rsidRPr="00AC1689">
              <w:rPr>
                <w:rFonts w:ascii="Verdana" w:hAnsi="Verdana"/>
              </w:rPr>
              <w:t>deleted</w:t>
            </w:r>
            <w:r>
              <w:rPr>
                <w:rFonts w:ascii="Verdana" w:hAnsi="Verdana"/>
              </w:rPr>
              <w:t xml:space="preserve"> in C0010/R0010-R0050</w:t>
            </w:r>
            <w:r w:rsidRPr="00AC1689">
              <w:rPr>
                <w:rFonts w:ascii="Verdana" w:hAnsi="Verdana"/>
              </w:rPr>
              <w:t>.</w:t>
            </w:r>
            <w:r w:rsidRPr="00AC1689">
              <w:rPr>
                <w:rFonts w:ascii="Verdana" w:hAnsi="Verdana"/>
              </w:rPr>
              <w:t xml:space="preserve"> </w:t>
            </w:r>
            <w:r w:rsidRPr="00AC1689">
              <w:rPr>
                <w:rFonts w:ascii="Verdana" w:hAnsi="Verdana"/>
              </w:rPr>
              <w:t>These cells show Day 1 values of Solvency II and Solvency I technical provisions, respectively. Ignoring any limit and assuming no recalculation, these would be unchanged throughout the transitional period. The TMTP at the reporting date is then the difference between the Day 1 Solvency I &amp; Solvency II technical provisions multiplied by the portion in R0060 (which reduces by 1/16th each year).</w:t>
            </w:r>
          </w:p>
        </w:tc>
      </w:tr>
      <w:tr w:rsidR="00621574" w:rsidTr="00AC1689">
        <w:tc>
          <w:tcPr>
            <w:tcW w:w="1542" w:type="dxa"/>
          </w:tcPr>
          <w:p w:rsidR="00621574" w:rsidRPr="008614CE" w:rsidRDefault="00621574" w:rsidP="00564064">
            <w:pPr>
              <w:pStyle w:val="NoSpacing"/>
              <w:jc w:val="both"/>
              <w:rPr>
                <w:rFonts w:ascii="Verdana" w:hAnsi="Verdana"/>
              </w:rPr>
            </w:pPr>
            <w:r w:rsidRPr="008614CE">
              <w:rPr>
                <w:rFonts w:ascii="Verdana" w:hAnsi="Verdana"/>
              </w:rPr>
              <w:t>Stakeholder</w:t>
            </w:r>
          </w:p>
        </w:tc>
        <w:tc>
          <w:tcPr>
            <w:tcW w:w="1657" w:type="dxa"/>
          </w:tcPr>
          <w:p w:rsidR="00621574" w:rsidRPr="008614CE" w:rsidRDefault="00621574" w:rsidP="00564064">
            <w:pPr>
              <w:pStyle w:val="NoSpacing"/>
              <w:jc w:val="both"/>
              <w:rPr>
                <w:rFonts w:ascii="Verdana" w:hAnsi="Verdana"/>
              </w:rPr>
            </w:pPr>
            <w:r w:rsidRPr="008614CE">
              <w:rPr>
                <w:rFonts w:ascii="Verdana" w:hAnsi="Verdana"/>
                <w:bCs/>
                <w:color w:val="000000"/>
                <w:sz w:val="20"/>
                <w:szCs w:val="20"/>
              </w:rPr>
              <w:t>S.29.04</w:t>
            </w:r>
          </w:p>
        </w:tc>
        <w:tc>
          <w:tcPr>
            <w:tcW w:w="6115" w:type="dxa"/>
          </w:tcPr>
          <w:p w:rsidR="00621574" w:rsidRDefault="00621574" w:rsidP="00564064">
            <w:pPr>
              <w:jc w:val="both"/>
              <w:rPr>
                <w:rFonts w:ascii="Verdana" w:hAnsi="Verdana"/>
              </w:rPr>
            </w:pPr>
            <w:r>
              <w:rPr>
                <w:rFonts w:ascii="Verdana" w:hAnsi="Verdana"/>
              </w:rPr>
              <w:t xml:space="preserve">In Z0010 </w:t>
            </w:r>
            <w:r w:rsidRPr="00437845">
              <w:rPr>
                <w:rFonts w:ascii="Verdana" w:hAnsi="Verdana"/>
              </w:rPr>
              <w:t xml:space="preserve">definition of LoB 37 </w:t>
            </w:r>
            <w:r>
              <w:rPr>
                <w:rFonts w:ascii="Verdana" w:hAnsi="Verdana"/>
              </w:rPr>
              <w:t>is amended as follows:</w:t>
            </w:r>
          </w:p>
          <w:p w:rsidR="00621574" w:rsidRDefault="00621574" w:rsidP="00564064">
            <w:pPr>
              <w:jc w:val="both"/>
              <w:rPr>
                <w:rFonts w:ascii="Verdana" w:hAnsi="Verdana"/>
              </w:rPr>
            </w:pPr>
            <w:r>
              <w:rPr>
                <w:rFonts w:ascii="Verdana" w:hAnsi="Verdana"/>
              </w:rPr>
              <w:t>“</w:t>
            </w:r>
            <w:r w:rsidRPr="00710F28">
              <w:rPr>
                <w:rFonts w:ascii="Verdana" w:hAnsi="Verdana"/>
              </w:rPr>
              <w:t>37 – Life (including lines of business 30, 31, 32, 34 and 36, as defined in Annex I to Delegated Regulation (EU) 2015/35)</w:t>
            </w:r>
            <w:r>
              <w:rPr>
                <w:rFonts w:ascii="Verdana" w:hAnsi="Verdana"/>
              </w:rPr>
              <w:t>”.</w:t>
            </w:r>
          </w:p>
          <w:p w:rsidR="00621574" w:rsidRDefault="00621574" w:rsidP="00564064">
            <w:pPr>
              <w:jc w:val="both"/>
              <w:rPr>
                <w:rFonts w:ascii="Verdana" w:hAnsi="Verdana"/>
              </w:rPr>
            </w:pPr>
          </w:p>
          <w:p w:rsidR="00621574" w:rsidRPr="00710F28" w:rsidRDefault="00621574" w:rsidP="00564064">
            <w:pPr>
              <w:jc w:val="both"/>
              <w:rPr>
                <w:rFonts w:ascii="Verdana" w:hAnsi="Verdana"/>
              </w:rPr>
            </w:pPr>
            <w:r w:rsidRPr="00710F28">
              <w:rPr>
                <w:rFonts w:ascii="Verdana" w:hAnsi="Verdana"/>
              </w:rPr>
              <w:t>In Z0010 definition of LoB 3</w:t>
            </w:r>
            <w:r>
              <w:rPr>
                <w:rFonts w:ascii="Verdana" w:hAnsi="Verdana"/>
              </w:rPr>
              <w:t>8</w:t>
            </w:r>
            <w:r w:rsidRPr="00710F28">
              <w:rPr>
                <w:rFonts w:ascii="Verdana" w:hAnsi="Verdana"/>
              </w:rPr>
              <w:t xml:space="preserve"> is amended as follows:</w:t>
            </w:r>
          </w:p>
          <w:p w:rsidR="00621574" w:rsidRPr="008614CE" w:rsidRDefault="00621574" w:rsidP="00564064">
            <w:pPr>
              <w:jc w:val="both"/>
              <w:rPr>
                <w:rFonts w:ascii="Verdana" w:hAnsi="Verdana" w:cs="Calibri"/>
                <w:color w:val="000000"/>
                <w:sz w:val="20"/>
                <w:szCs w:val="20"/>
                <w:lang w:eastAsia="fr-FR"/>
              </w:rPr>
            </w:pPr>
            <w:r>
              <w:rPr>
                <w:rFonts w:ascii="Verdana" w:hAnsi="Verdana"/>
              </w:rPr>
              <w:t>“</w:t>
            </w:r>
            <w:r w:rsidRPr="00710F28">
              <w:rPr>
                <w:rFonts w:ascii="Verdana" w:hAnsi="Verdana"/>
              </w:rPr>
              <w:t>38 - Health SLT (including lines of business 29, 33 and 35)”.</w:t>
            </w:r>
          </w:p>
        </w:tc>
      </w:tr>
      <w:tr w:rsidR="00621574" w:rsidTr="00AC1689">
        <w:tc>
          <w:tcPr>
            <w:tcW w:w="1542" w:type="dxa"/>
          </w:tcPr>
          <w:p w:rsidR="00621574" w:rsidRPr="008614CE" w:rsidRDefault="00621574" w:rsidP="00564064">
            <w:pPr>
              <w:pStyle w:val="NoSpacing"/>
              <w:jc w:val="both"/>
              <w:rPr>
                <w:rFonts w:ascii="Verdana" w:hAnsi="Verdana"/>
              </w:rPr>
            </w:pPr>
            <w:r w:rsidRPr="008614CE">
              <w:rPr>
                <w:rFonts w:ascii="Verdana" w:hAnsi="Verdana"/>
              </w:rPr>
              <w:t>EIOPA</w:t>
            </w:r>
          </w:p>
        </w:tc>
        <w:tc>
          <w:tcPr>
            <w:tcW w:w="1657" w:type="dxa"/>
          </w:tcPr>
          <w:p w:rsidR="00621574" w:rsidRPr="008614CE" w:rsidRDefault="00621574" w:rsidP="00564064">
            <w:pPr>
              <w:pStyle w:val="NoSpacing"/>
              <w:jc w:val="both"/>
              <w:rPr>
                <w:rFonts w:ascii="Verdana" w:hAnsi="Verdana"/>
              </w:rPr>
            </w:pPr>
            <w:r w:rsidRPr="008614CE">
              <w:rPr>
                <w:rFonts w:ascii="Verdana" w:hAnsi="Verdana"/>
                <w:bCs/>
                <w:color w:val="000000"/>
                <w:sz w:val="20"/>
                <w:szCs w:val="20"/>
              </w:rPr>
              <w:t>S.29.04</w:t>
            </w:r>
          </w:p>
        </w:tc>
        <w:tc>
          <w:tcPr>
            <w:tcW w:w="6115" w:type="dxa"/>
          </w:tcPr>
          <w:p w:rsidR="00621574" w:rsidRPr="00621574" w:rsidRDefault="00621574" w:rsidP="00621574">
            <w:pPr>
              <w:rPr>
                <w:rFonts w:ascii="Verdana" w:hAnsi="Verdana"/>
              </w:rPr>
            </w:pPr>
            <w:r w:rsidRPr="00621574">
              <w:rPr>
                <w:rFonts w:ascii="Verdana" w:hAnsi="Verdana"/>
              </w:rPr>
              <w:t>Reference “due to year N projected in and out flows” was deleted from the labels C0020/R0040 and C0050/R0110.</w:t>
            </w:r>
          </w:p>
        </w:tc>
      </w:tr>
      <w:tr w:rsidR="00621574" w:rsidTr="00AC1689">
        <w:tc>
          <w:tcPr>
            <w:tcW w:w="1542" w:type="dxa"/>
          </w:tcPr>
          <w:p w:rsidR="00621574" w:rsidRPr="00621574" w:rsidRDefault="00621574" w:rsidP="00564064">
            <w:pPr>
              <w:pStyle w:val="NoSpacing"/>
              <w:jc w:val="both"/>
              <w:rPr>
                <w:rFonts w:ascii="Verdana" w:hAnsi="Verdana"/>
              </w:rPr>
            </w:pPr>
            <w:r w:rsidRPr="00621574">
              <w:rPr>
                <w:rFonts w:ascii="Verdana" w:hAnsi="Verdana"/>
                <w:bCs/>
                <w:sz w:val="20"/>
                <w:szCs w:val="20"/>
              </w:rPr>
              <w:t>EIOPA</w:t>
            </w:r>
          </w:p>
        </w:tc>
        <w:tc>
          <w:tcPr>
            <w:tcW w:w="1657" w:type="dxa"/>
          </w:tcPr>
          <w:p w:rsidR="00621574" w:rsidRPr="00621574" w:rsidRDefault="00621574" w:rsidP="00564064">
            <w:pPr>
              <w:pStyle w:val="NoSpacing"/>
              <w:jc w:val="both"/>
              <w:rPr>
                <w:rFonts w:ascii="Verdana" w:hAnsi="Verdana"/>
                <w:bCs/>
                <w:sz w:val="20"/>
                <w:szCs w:val="20"/>
              </w:rPr>
            </w:pPr>
            <w:r w:rsidRPr="00621574">
              <w:rPr>
                <w:rFonts w:ascii="Verdana" w:hAnsi="Verdana"/>
                <w:bCs/>
                <w:sz w:val="20"/>
                <w:szCs w:val="20"/>
              </w:rPr>
              <w:t>S.30.01</w:t>
            </w:r>
          </w:p>
          <w:p w:rsidR="00621574" w:rsidRPr="00621574" w:rsidRDefault="00621574" w:rsidP="00564064">
            <w:pPr>
              <w:pStyle w:val="NoSpacing"/>
              <w:jc w:val="both"/>
              <w:rPr>
                <w:rFonts w:ascii="Verdana" w:hAnsi="Verdana"/>
              </w:rPr>
            </w:pPr>
            <w:r w:rsidRPr="00621574">
              <w:rPr>
                <w:rFonts w:ascii="Verdana" w:hAnsi="Verdana"/>
                <w:bCs/>
                <w:sz w:val="20"/>
                <w:szCs w:val="20"/>
              </w:rPr>
              <w:t>S.30.02</w:t>
            </w:r>
          </w:p>
        </w:tc>
        <w:tc>
          <w:tcPr>
            <w:tcW w:w="6115" w:type="dxa"/>
          </w:tcPr>
          <w:p w:rsidR="00621574" w:rsidRPr="008614CE" w:rsidRDefault="00621574" w:rsidP="00564064">
            <w:pPr>
              <w:tabs>
                <w:tab w:val="left" w:pos="1021"/>
              </w:tabs>
              <w:jc w:val="both"/>
              <w:rPr>
                <w:rFonts w:ascii="Verdana" w:hAnsi="Verdana"/>
              </w:rPr>
            </w:pPr>
            <w:r w:rsidRPr="00621574">
              <w:rPr>
                <w:rFonts w:ascii="Verdana" w:hAnsi="Verdana"/>
                <w:bCs/>
                <w:sz w:val="20"/>
                <w:szCs w:val="20"/>
              </w:rPr>
              <w:t>Z0010 in the second table of both templates is changed to Z0020 for technical reasons. It was complicated that two different closed lists in one template refer to the same Z-axis.</w:t>
            </w:r>
          </w:p>
        </w:tc>
      </w:tr>
      <w:tr w:rsidR="00621574" w:rsidTr="00AC1689">
        <w:tc>
          <w:tcPr>
            <w:tcW w:w="1542" w:type="dxa"/>
          </w:tcPr>
          <w:p w:rsidR="00621574" w:rsidRPr="008614CE" w:rsidRDefault="00621574" w:rsidP="00564064">
            <w:pPr>
              <w:pStyle w:val="NoSpacing"/>
              <w:jc w:val="both"/>
              <w:rPr>
                <w:rFonts w:ascii="Verdana" w:hAnsi="Verdana"/>
              </w:rPr>
            </w:pPr>
            <w:r w:rsidRPr="008614CE">
              <w:rPr>
                <w:rFonts w:ascii="Verdana" w:hAnsi="Verdana"/>
                <w:bCs/>
                <w:sz w:val="20"/>
                <w:szCs w:val="20"/>
              </w:rPr>
              <w:t>Stakeholder</w:t>
            </w:r>
          </w:p>
        </w:tc>
        <w:tc>
          <w:tcPr>
            <w:tcW w:w="1657" w:type="dxa"/>
          </w:tcPr>
          <w:p w:rsidR="00621574" w:rsidRPr="008614CE" w:rsidRDefault="00621574" w:rsidP="00564064">
            <w:pPr>
              <w:pStyle w:val="NoSpacing"/>
              <w:jc w:val="both"/>
              <w:rPr>
                <w:rFonts w:ascii="Verdana" w:hAnsi="Verdana"/>
              </w:rPr>
            </w:pPr>
            <w:r w:rsidRPr="008614CE">
              <w:rPr>
                <w:rFonts w:ascii="Verdana" w:hAnsi="Verdana"/>
                <w:bCs/>
                <w:sz w:val="20"/>
                <w:szCs w:val="20"/>
              </w:rPr>
              <w:t>S.30.02</w:t>
            </w:r>
          </w:p>
        </w:tc>
        <w:tc>
          <w:tcPr>
            <w:tcW w:w="6115" w:type="dxa"/>
          </w:tcPr>
          <w:p w:rsidR="00621574" w:rsidRPr="00D77A4C" w:rsidRDefault="00621574" w:rsidP="00564064">
            <w:pPr>
              <w:pStyle w:val="NoSpacing"/>
              <w:jc w:val="both"/>
              <w:rPr>
                <w:rFonts w:ascii="Verdana" w:hAnsi="Verdana"/>
              </w:rPr>
            </w:pPr>
            <w:r w:rsidRPr="00D77A4C">
              <w:rPr>
                <w:rFonts w:ascii="Verdana" w:hAnsi="Verdana"/>
              </w:rPr>
              <w:t xml:space="preserve">Change </w:t>
            </w:r>
            <w:r>
              <w:rPr>
                <w:rFonts w:ascii="Verdana" w:hAnsi="Verdana"/>
              </w:rPr>
              <w:t>added at the end of the 4</w:t>
            </w:r>
            <w:r w:rsidRPr="00D77A4C">
              <w:rPr>
                <w:rFonts w:ascii="Verdana" w:hAnsi="Verdana"/>
                <w:vertAlign w:val="superscript"/>
              </w:rPr>
              <w:t>th</w:t>
            </w:r>
            <w:r>
              <w:rPr>
                <w:rFonts w:ascii="Verdana" w:hAnsi="Verdana"/>
              </w:rPr>
              <w:t xml:space="preserve"> paragraph of the </w:t>
            </w:r>
            <w:r w:rsidRPr="00D77A4C">
              <w:rPr>
                <w:rFonts w:ascii="Verdana" w:hAnsi="Verdana"/>
              </w:rPr>
              <w:t>general comments clarifies that where a facultative reinsurance policy reported on the S.30.01 has more than 1 reinsurer, then the S.30.02 will consist of more lines than reported on the S.30.01.</w:t>
            </w:r>
          </w:p>
          <w:p w:rsidR="00621574" w:rsidRPr="00D77A4C" w:rsidRDefault="00621574" w:rsidP="00564064">
            <w:pPr>
              <w:pStyle w:val="NoSpacing"/>
              <w:jc w:val="both"/>
              <w:rPr>
                <w:rFonts w:ascii="Verdana" w:hAnsi="Verdana"/>
              </w:rPr>
            </w:pPr>
          </w:p>
          <w:p w:rsidR="00621574" w:rsidRPr="00A96379" w:rsidRDefault="00621574" w:rsidP="00564064">
            <w:pPr>
              <w:tabs>
                <w:tab w:val="left" w:pos="1021"/>
              </w:tabs>
              <w:jc w:val="both"/>
              <w:rPr>
                <w:rFonts w:ascii="Verdana" w:hAnsi="Verdana" w:cs="Calibri"/>
                <w:b/>
                <w:color w:val="000000"/>
                <w:sz w:val="20"/>
                <w:szCs w:val="20"/>
                <w:lang w:eastAsia="fr-FR"/>
              </w:rPr>
            </w:pPr>
            <w:r w:rsidRPr="00D77A4C">
              <w:rPr>
                <w:rFonts w:ascii="Verdana" w:hAnsi="Verdana"/>
              </w:rPr>
              <w:t>“Where a facultative cover as reported in template S.30.01 is related to more than one reinsurance undertaking, this template should be filled in with as many rows as the number of reinsurance undertakings involved for the specific facultative cover.”</w:t>
            </w:r>
          </w:p>
        </w:tc>
      </w:tr>
      <w:tr w:rsidR="00621574" w:rsidTr="00AC1689">
        <w:tc>
          <w:tcPr>
            <w:tcW w:w="1542" w:type="dxa"/>
          </w:tcPr>
          <w:p w:rsidR="00621574" w:rsidRPr="008614CE" w:rsidRDefault="00621574" w:rsidP="00564064">
            <w:pPr>
              <w:pStyle w:val="NoSpacing"/>
              <w:jc w:val="both"/>
              <w:rPr>
                <w:rFonts w:ascii="Verdana" w:hAnsi="Verdana"/>
              </w:rPr>
            </w:pPr>
            <w:r w:rsidRPr="00621574">
              <w:rPr>
                <w:rFonts w:ascii="Verdana" w:hAnsi="Verdana"/>
              </w:rPr>
              <w:t>Stakeholder</w:t>
            </w:r>
          </w:p>
        </w:tc>
        <w:tc>
          <w:tcPr>
            <w:tcW w:w="1657" w:type="dxa"/>
          </w:tcPr>
          <w:p w:rsidR="00621574" w:rsidRPr="00621574" w:rsidRDefault="00621574" w:rsidP="00621574">
            <w:pPr>
              <w:pStyle w:val="NoSpacing"/>
              <w:jc w:val="both"/>
              <w:rPr>
                <w:rFonts w:ascii="Verdana" w:hAnsi="Verdana"/>
              </w:rPr>
            </w:pPr>
            <w:r w:rsidRPr="00621574">
              <w:rPr>
                <w:rFonts w:ascii="Verdana" w:hAnsi="Verdana"/>
              </w:rPr>
              <w:t>S.30.02</w:t>
            </w:r>
          </w:p>
          <w:p w:rsidR="00621574" w:rsidRPr="00621574" w:rsidRDefault="00621574" w:rsidP="00621574">
            <w:pPr>
              <w:pStyle w:val="NoSpacing"/>
              <w:jc w:val="both"/>
              <w:rPr>
                <w:rFonts w:ascii="Verdana" w:hAnsi="Verdana"/>
              </w:rPr>
            </w:pPr>
            <w:r w:rsidRPr="00621574">
              <w:rPr>
                <w:rFonts w:ascii="Verdana" w:hAnsi="Verdana"/>
              </w:rPr>
              <w:t>S.30.04</w:t>
            </w:r>
          </w:p>
          <w:p w:rsidR="00621574" w:rsidRPr="00621574" w:rsidRDefault="00621574" w:rsidP="00621574">
            <w:pPr>
              <w:pStyle w:val="NoSpacing"/>
              <w:jc w:val="both"/>
              <w:rPr>
                <w:rFonts w:ascii="Verdana" w:hAnsi="Verdana"/>
              </w:rPr>
            </w:pPr>
            <w:r w:rsidRPr="00621574">
              <w:rPr>
                <w:rFonts w:ascii="Verdana" w:hAnsi="Verdana"/>
              </w:rPr>
              <w:t>S.31.01</w:t>
            </w:r>
          </w:p>
          <w:p w:rsidR="00621574" w:rsidRPr="008614CE" w:rsidRDefault="00621574" w:rsidP="00621574">
            <w:pPr>
              <w:pStyle w:val="NoSpacing"/>
              <w:jc w:val="both"/>
              <w:rPr>
                <w:rFonts w:ascii="Verdana" w:hAnsi="Verdana"/>
              </w:rPr>
            </w:pPr>
            <w:r w:rsidRPr="00621574">
              <w:rPr>
                <w:rFonts w:ascii="Verdana" w:hAnsi="Verdana"/>
              </w:rPr>
              <w:lastRenderedPageBreak/>
              <w:t>S.31.02</w:t>
            </w:r>
          </w:p>
        </w:tc>
        <w:tc>
          <w:tcPr>
            <w:tcW w:w="6115" w:type="dxa"/>
          </w:tcPr>
          <w:p w:rsidR="00621574" w:rsidRPr="00621574" w:rsidRDefault="00621574" w:rsidP="00621574">
            <w:pPr>
              <w:jc w:val="both"/>
              <w:rPr>
                <w:rFonts w:ascii="Verdana" w:hAnsi="Verdana" w:cs="Calibri"/>
                <w:color w:val="000000"/>
                <w:sz w:val="20"/>
                <w:szCs w:val="20"/>
                <w:lang w:eastAsia="fr-FR"/>
              </w:rPr>
            </w:pPr>
            <w:r w:rsidRPr="00621574">
              <w:rPr>
                <w:rFonts w:ascii="Verdana" w:hAnsi="Verdana" w:cs="Calibri"/>
                <w:color w:val="000000"/>
                <w:sz w:val="20"/>
                <w:szCs w:val="20"/>
                <w:lang w:eastAsia="fr-FR"/>
              </w:rPr>
              <w:lastRenderedPageBreak/>
              <w:t>In S.30.02.C0330, S.30.04.C0230, S.31.01.C0210 and S.31.02.C0270 paragraph referring to issuer rating is redrafted as follows:</w:t>
            </w:r>
          </w:p>
          <w:p w:rsidR="00621574" w:rsidRPr="008614CE" w:rsidRDefault="00621574" w:rsidP="00621574">
            <w:pPr>
              <w:jc w:val="both"/>
              <w:rPr>
                <w:rFonts w:ascii="Verdana" w:hAnsi="Verdana" w:cs="Calibri"/>
                <w:color w:val="000000"/>
                <w:sz w:val="20"/>
                <w:szCs w:val="20"/>
                <w:lang w:eastAsia="fr-FR"/>
              </w:rPr>
            </w:pPr>
            <w:r w:rsidRPr="00621574">
              <w:rPr>
                <w:rFonts w:ascii="Verdana" w:hAnsi="Verdana" w:cs="Calibri"/>
                <w:color w:val="000000"/>
                <w:sz w:val="20"/>
                <w:szCs w:val="20"/>
                <w:lang w:eastAsia="fr-FR"/>
              </w:rPr>
              <w:lastRenderedPageBreak/>
              <w:t>“If an issue rating is not available, the item should be left blank.”</w:t>
            </w:r>
          </w:p>
        </w:tc>
      </w:tr>
      <w:tr w:rsidR="007A228B" w:rsidTr="007A228B">
        <w:trPr>
          <w:trHeight w:val="623"/>
        </w:trPr>
        <w:tc>
          <w:tcPr>
            <w:tcW w:w="9314" w:type="dxa"/>
            <w:gridSpan w:val="3"/>
            <w:vAlign w:val="center"/>
          </w:tcPr>
          <w:p w:rsidR="007A228B" w:rsidRDefault="007A228B" w:rsidP="007A228B">
            <w:pPr>
              <w:pStyle w:val="NoSpacing"/>
              <w:jc w:val="center"/>
              <w:rPr>
                <w:rFonts w:ascii="Verdana" w:hAnsi="Verdana"/>
              </w:rPr>
            </w:pPr>
            <w:r>
              <w:rPr>
                <w:rFonts w:ascii="Verdana" w:hAnsi="Verdana"/>
                <w:b/>
              </w:rPr>
              <w:lastRenderedPageBreak/>
              <w:t>Disclosure</w:t>
            </w:r>
          </w:p>
        </w:tc>
      </w:tr>
      <w:tr w:rsidR="00D932A7" w:rsidTr="007A228B">
        <w:trPr>
          <w:trHeight w:val="419"/>
        </w:trPr>
        <w:tc>
          <w:tcPr>
            <w:tcW w:w="1542" w:type="dxa"/>
            <w:vAlign w:val="center"/>
          </w:tcPr>
          <w:p w:rsidR="00D932A7" w:rsidRPr="000C4CA4" w:rsidRDefault="00D932A7" w:rsidP="004317B7">
            <w:pPr>
              <w:pStyle w:val="NoSpacing"/>
              <w:rPr>
                <w:rFonts w:ascii="Verdana" w:hAnsi="Verdana"/>
              </w:rPr>
            </w:pPr>
            <w:r w:rsidRPr="004317B7">
              <w:rPr>
                <w:rFonts w:ascii="Verdana" w:hAnsi="Verdana"/>
                <w:b/>
              </w:rPr>
              <w:t>Source</w:t>
            </w:r>
          </w:p>
        </w:tc>
        <w:tc>
          <w:tcPr>
            <w:tcW w:w="1657" w:type="dxa"/>
            <w:vAlign w:val="center"/>
          </w:tcPr>
          <w:p w:rsidR="00D932A7" w:rsidRPr="000C4CA4" w:rsidRDefault="00D932A7" w:rsidP="004317B7">
            <w:pPr>
              <w:pStyle w:val="NoSpacing"/>
              <w:rPr>
                <w:rFonts w:ascii="Verdana" w:hAnsi="Verdana"/>
              </w:rPr>
            </w:pPr>
            <w:r w:rsidRPr="004317B7">
              <w:rPr>
                <w:rFonts w:ascii="Verdana" w:hAnsi="Verdana"/>
                <w:b/>
                <w:bCs/>
                <w:sz w:val="20"/>
                <w:szCs w:val="20"/>
              </w:rPr>
              <w:t>Template</w:t>
            </w:r>
          </w:p>
        </w:tc>
        <w:tc>
          <w:tcPr>
            <w:tcW w:w="6115" w:type="dxa"/>
            <w:vAlign w:val="center"/>
          </w:tcPr>
          <w:p w:rsidR="00D932A7" w:rsidRPr="007832A6" w:rsidRDefault="00D932A7" w:rsidP="004317B7">
            <w:pPr>
              <w:pStyle w:val="NoSpacing"/>
              <w:rPr>
                <w:rFonts w:ascii="Verdana" w:hAnsi="Verdana"/>
                <w:bCs/>
                <w:sz w:val="20"/>
                <w:szCs w:val="20"/>
              </w:rPr>
            </w:pPr>
            <w:r w:rsidRPr="004317B7">
              <w:rPr>
                <w:rFonts w:ascii="Verdana" w:hAnsi="Verdana"/>
                <w:b/>
                <w:bCs/>
                <w:sz w:val="20"/>
                <w:szCs w:val="20"/>
              </w:rPr>
              <w:t>Description</w:t>
            </w:r>
          </w:p>
        </w:tc>
      </w:tr>
      <w:tr w:rsidR="00D932A7" w:rsidTr="007A228B">
        <w:tc>
          <w:tcPr>
            <w:tcW w:w="1542" w:type="dxa"/>
          </w:tcPr>
          <w:p w:rsidR="00D932A7" w:rsidRPr="008D17F0" w:rsidRDefault="00D932A7" w:rsidP="004317B7">
            <w:pPr>
              <w:pStyle w:val="NoSpacing"/>
              <w:jc w:val="both"/>
              <w:rPr>
                <w:rFonts w:ascii="Verdana" w:hAnsi="Verdana"/>
              </w:rPr>
            </w:pPr>
            <w:r w:rsidRPr="008D17F0">
              <w:rPr>
                <w:rFonts w:ascii="Verdana" w:hAnsi="Verdana"/>
              </w:rPr>
              <w:t>Stakeholder</w:t>
            </w:r>
          </w:p>
        </w:tc>
        <w:tc>
          <w:tcPr>
            <w:tcW w:w="1657" w:type="dxa"/>
          </w:tcPr>
          <w:p w:rsidR="00D932A7" w:rsidRPr="008D17F0" w:rsidRDefault="00D932A7" w:rsidP="004317B7">
            <w:pPr>
              <w:pStyle w:val="NoSpacing"/>
              <w:jc w:val="both"/>
              <w:rPr>
                <w:rFonts w:ascii="Verdana" w:hAnsi="Verdana"/>
              </w:rPr>
            </w:pPr>
            <w:r w:rsidRPr="008D17F0">
              <w:rPr>
                <w:rFonts w:ascii="Verdana" w:hAnsi="Verdana"/>
                <w:bCs/>
                <w:sz w:val="20"/>
                <w:szCs w:val="20"/>
              </w:rPr>
              <w:t>S.19.01</w:t>
            </w:r>
          </w:p>
        </w:tc>
        <w:tc>
          <w:tcPr>
            <w:tcW w:w="6115" w:type="dxa"/>
          </w:tcPr>
          <w:p w:rsidR="00D932A7" w:rsidRPr="008D17F0" w:rsidRDefault="00D932A7" w:rsidP="008D17F0">
            <w:pPr>
              <w:pStyle w:val="NoSpacing"/>
              <w:rPr>
                <w:rFonts w:ascii="Verdana" w:hAnsi="Verdana"/>
                <w:bCs/>
                <w:sz w:val="20"/>
                <w:szCs w:val="20"/>
              </w:rPr>
            </w:pPr>
            <w:r w:rsidRPr="008D17F0">
              <w:rPr>
                <w:rFonts w:ascii="Verdana" w:hAnsi="Verdana"/>
                <w:bCs/>
                <w:sz w:val="20"/>
                <w:szCs w:val="20"/>
              </w:rPr>
              <w:t xml:space="preserve">In template S.19.01.21 </w:t>
            </w:r>
            <w:r w:rsidR="00AC1689" w:rsidRPr="008D17F0">
              <w:rPr>
                <w:rFonts w:ascii="Verdana" w:hAnsi="Verdana"/>
                <w:bCs/>
                <w:sz w:val="20"/>
                <w:szCs w:val="20"/>
              </w:rPr>
              <w:t>cell</w:t>
            </w:r>
            <w:r w:rsidRPr="008D17F0">
              <w:rPr>
                <w:rFonts w:ascii="Verdana" w:hAnsi="Verdana"/>
                <w:bCs/>
                <w:sz w:val="20"/>
                <w:szCs w:val="20"/>
              </w:rPr>
              <w:t xml:space="preserve"> “Z0010”</w:t>
            </w:r>
            <w:r w:rsidR="00AC1689" w:rsidRPr="008D17F0">
              <w:rPr>
                <w:rFonts w:ascii="Verdana" w:hAnsi="Verdana"/>
                <w:bCs/>
                <w:sz w:val="20"/>
                <w:szCs w:val="20"/>
              </w:rPr>
              <w:t xml:space="preserve"> was replaced by the cell </w:t>
            </w:r>
            <w:r w:rsidRPr="008D17F0">
              <w:rPr>
                <w:rFonts w:ascii="Verdana" w:hAnsi="Verdana"/>
                <w:bCs/>
                <w:sz w:val="20"/>
                <w:szCs w:val="20"/>
              </w:rPr>
              <w:t>Z0020</w:t>
            </w:r>
            <w:r w:rsidR="008D17F0" w:rsidRPr="008D17F0">
              <w:rPr>
                <w:rFonts w:ascii="Verdana" w:hAnsi="Verdana"/>
                <w:bCs/>
                <w:sz w:val="20"/>
                <w:szCs w:val="20"/>
              </w:rPr>
              <w:t>.</w:t>
            </w:r>
          </w:p>
        </w:tc>
      </w:tr>
      <w:tr w:rsidR="007A228B" w:rsidRPr="004317B7" w:rsidTr="007A228B">
        <w:trPr>
          <w:cantSplit/>
          <w:trHeight w:val="401"/>
        </w:trPr>
        <w:tc>
          <w:tcPr>
            <w:tcW w:w="1542" w:type="dxa"/>
          </w:tcPr>
          <w:p w:rsidR="007A228B" w:rsidRPr="008D17F0" w:rsidRDefault="007A228B" w:rsidP="007A228B">
            <w:pPr>
              <w:pStyle w:val="NoSpacing"/>
              <w:rPr>
                <w:rFonts w:ascii="Verdana" w:hAnsi="Verdana"/>
                <w:b/>
              </w:rPr>
            </w:pPr>
            <w:r w:rsidRPr="008D17F0">
              <w:rPr>
                <w:rFonts w:ascii="Verdana" w:hAnsi="Verdana"/>
              </w:rPr>
              <w:t>Stakeholder</w:t>
            </w:r>
          </w:p>
        </w:tc>
        <w:tc>
          <w:tcPr>
            <w:tcW w:w="1657" w:type="dxa"/>
          </w:tcPr>
          <w:p w:rsidR="007A228B" w:rsidRPr="008D17F0" w:rsidRDefault="007A228B" w:rsidP="007A228B">
            <w:pPr>
              <w:pStyle w:val="NoSpacing"/>
              <w:rPr>
                <w:rFonts w:ascii="Verdana" w:hAnsi="Verdana"/>
                <w:bCs/>
                <w:sz w:val="20"/>
                <w:szCs w:val="20"/>
              </w:rPr>
            </w:pPr>
            <w:r w:rsidRPr="008D17F0">
              <w:rPr>
                <w:rFonts w:ascii="Verdana" w:hAnsi="Verdana"/>
                <w:bCs/>
                <w:sz w:val="20"/>
                <w:szCs w:val="20"/>
              </w:rPr>
              <w:t>S.23.01</w:t>
            </w:r>
          </w:p>
          <w:p w:rsidR="008D17F0" w:rsidRPr="008D17F0" w:rsidRDefault="008D17F0" w:rsidP="007A228B">
            <w:pPr>
              <w:pStyle w:val="NoSpacing"/>
              <w:rPr>
                <w:rFonts w:ascii="Verdana" w:hAnsi="Verdana"/>
                <w:b/>
              </w:rPr>
            </w:pPr>
            <w:r w:rsidRPr="008D17F0">
              <w:rPr>
                <w:rFonts w:ascii="Verdana" w:hAnsi="Verdana"/>
                <w:bCs/>
                <w:sz w:val="20"/>
                <w:szCs w:val="20"/>
              </w:rPr>
              <w:t>Individual Undertaking</w:t>
            </w:r>
          </w:p>
        </w:tc>
        <w:tc>
          <w:tcPr>
            <w:tcW w:w="6115" w:type="dxa"/>
          </w:tcPr>
          <w:p w:rsidR="007A228B" w:rsidRPr="007A228B" w:rsidRDefault="008D17F0" w:rsidP="008D17F0">
            <w:pPr>
              <w:pStyle w:val="NoSpacing"/>
              <w:rPr>
                <w:rFonts w:ascii="Verdana" w:hAnsi="Verdana"/>
                <w:bCs/>
                <w:sz w:val="20"/>
                <w:szCs w:val="20"/>
                <w:highlight w:val="yellow"/>
              </w:rPr>
            </w:pPr>
            <w:r>
              <w:rPr>
                <w:rFonts w:ascii="Verdana" w:hAnsi="Verdana"/>
                <w:bCs/>
                <w:sz w:val="20"/>
                <w:szCs w:val="20"/>
              </w:rPr>
              <w:t>Item</w:t>
            </w:r>
            <w:r w:rsidR="007A228B" w:rsidRPr="008614CE">
              <w:rPr>
                <w:rFonts w:ascii="Verdana" w:hAnsi="Verdana"/>
                <w:bCs/>
                <w:sz w:val="20"/>
                <w:szCs w:val="20"/>
              </w:rPr>
              <w:t xml:space="preserve"> C0050/R0230 </w:t>
            </w:r>
            <w:r>
              <w:rPr>
                <w:rFonts w:ascii="Verdana" w:hAnsi="Verdana"/>
                <w:bCs/>
                <w:sz w:val="20"/>
                <w:szCs w:val="20"/>
              </w:rPr>
              <w:t>it’s not anymore crossed out and it is in line with the Annotated templates now.</w:t>
            </w:r>
          </w:p>
        </w:tc>
      </w:tr>
      <w:tr w:rsidR="007A228B" w:rsidRPr="004317B7" w:rsidTr="007A228B">
        <w:trPr>
          <w:cantSplit/>
          <w:trHeight w:val="401"/>
        </w:trPr>
        <w:tc>
          <w:tcPr>
            <w:tcW w:w="1542" w:type="dxa"/>
          </w:tcPr>
          <w:p w:rsidR="007A228B" w:rsidRPr="008D17F0" w:rsidRDefault="007A228B" w:rsidP="007A228B">
            <w:pPr>
              <w:pStyle w:val="NoSpacing"/>
              <w:rPr>
                <w:rFonts w:ascii="Verdana" w:hAnsi="Verdana"/>
                <w:b/>
              </w:rPr>
            </w:pPr>
            <w:r w:rsidRPr="008D17F0">
              <w:rPr>
                <w:rFonts w:ascii="Verdana" w:hAnsi="Verdana"/>
              </w:rPr>
              <w:t>Stakeholder</w:t>
            </w:r>
          </w:p>
        </w:tc>
        <w:tc>
          <w:tcPr>
            <w:tcW w:w="1657" w:type="dxa"/>
          </w:tcPr>
          <w:p w:rsidR="007A228B" w:rsidRPr="008D17F0" w:rsidRDefault="007A228B" w:rsidP="007A228B">
            <w:pPr>
              <w:pStyle w:val="NoSpacing"/>
              <w:rPr>
                <w:rFonts w:ascii="Verdana" w:hAnsi="Verdana"/>
                <w:bCs/>
                <w:sz w:val="20"/>
                <w:szCs w:val="20"/>
              </w:rPr>
            </w:pPr>
            <w:r w:rsidRPr="008D17F0">
              <w:rPr>
                <w:rFonts w:ascii="Verdana" w:hAnsi="Verdana"/>
                <w:bCs/>
                <w:sz w:val="20"/>
                <w:szCs w:val="20"/>
              </w:rPr>
              <w:t>S.23.01</w:t>
            </w:r>
            <w:r w:rsidR="008D17F0">
              <w:rPr>
                <w:rFonts w:ascii="Verdana" w:hAnsi="Verdana"/>
                <w:bCs/>
                <w:sz w:val="20"/>
                <w:szCs w:val="20"/>
              </w:rPr>
              <w:t>.22</w:t>
            </w:r>
          </w:p>
          <w:p w:rsidR="008D17F0" w:rsidRPr="008D17F0" w:rsidRDefault="008D17F0" w:rsidP="007A228B">
            <w:pPr>
              <w:pStyle w:val="NoSpacing"/>
              <w:rPr>
                <w:rFonts w:ascii="Verdana" w:hAnsi="Verdana"/>
                <w:b/>
              </w:rPr>
            </w:pPr>
            <w:r w:rsidRPr="008D17F0">
              <w:rPr>
                <w:rFonts w:ascii="Verdana" w:hAnsi="Verdana"/>
                <w:bCs/>
                <w:sz w:val="20"/>
                <w:szCs w:val="20"/>
              </w:rPr>
              <w:t>Groups</w:t>
            </w:r>
          </w:p>
        </w:tc>
        <w:tc>
          <w:tcPr>
            <w:tcW w:w="6115" w:type="dxa"/>
          </w:tcPr>
          <w:p w:rsidR="008D17F0" w:rsidRPr="007A228B" w:rsidRDefault="008D17F0" w:rsidP="008D17F0">
            <w:pPr>
              <w:pStyle w:val="NoSpacing"/>
              <w:rPr>
                <w:rFonts w:ascii="Verdana" w:hAnsi="Verdana"/>
                <w:b/>
                <w:bCs/>
                <w:sz w:val="20"/>
                <w:szCs w:val="20"/>
                <w:highlight w:val="yellow"/>
              </w:rPr>
            </w:pPr>
            <w:r w:rsidRPr="008D17F0">
              <w:rPr>
                <w:rFonts w:ascii="Verdana" w:hAnsi="Verdana"/>
                <w:bCs/>
                <w:sz w:val="20"/>
                <w:szCs w:val="20"/>
              </w:rPr>
              <w:t>Item C00</w:t>
            </w:r>
            <w:r>
              <w:rPr>
                <w:rFonts w:ascii="Verdana" w:hAnsi="Verdana"/>
                <w:bCs/>
                <w:sz w:val="20"/>
                <w:szCs w:val="20"/>
              </w:rPr>
              <w:t>2</w:t>
            </w:r>
            <w:r w:rsidRPr="008D17F0">
              <w:rPr>
                <w:rFonts w:ascii="Verdana" w:hAnsi="Verdana"/>
                <w:bCs/>
                <w:sz w:val="20"/>
                <w:szCs w:val="20"/>
              </w:rPr>
              <w:t>0/R02</w:t>
            </w:r>
            <w:r>
              <w:rPr>
                <w:rFonts w:ascii="Verdana" w:hAnsi="Verdana"/>
                <w:bCs/>
                <w:sz w:val="20"/>
                <w:szCs w:val="20"/>
              </w:rPr>
              <w:t>2</w:t>
            </w:r>
            <w:r w:rsidRPr="008D17F0">
              <w:rPr>
                <w:rFonts w:ascii="Verdana" w:hAnsi="Verdana"/>
                <w:bCs/>
                <w:sz w:val="20"/>
                <w:szCs w:val="20"/>
              </w:rPr>
              <w:t xml:space="preserve">0 it’s </w:t>
            </w:r>
            <w:r>
              <w:rPr>
                <w:rFonts w:ascii="Verdana" w:hAnsi="Verdana"/>
                <w:bCs/>
                <w:sz w:val="20"/>
                <w:szCs w:val="20"/>
              </w:rPr>
              <w:t>now</w:t>
            </w:r>
            <w:r w:rsidRPr="008D17F0">
              <w:rPr>
                <w:rFonts w:ascii="Verdana" w:hAnsi="Verdana"/>
                <w:bCs/>
                <w:sz w:val="20"/>
                <w:szCs w:val="20"/>
              </w:rPr>
              <w:t xml:space="preserve"> crossed out </w:t>
            </w:r>
            <w:r>
              <w:rPr>
                <w:rFonts w:ascii="Verdana" w:hAnsi="Verdana"/>
                <w:bCs/>
                <w:sz w:val="20"/>
                <w:szCs w:val="20"/>
              </w:rPr>
              <w:t>in order to be</w:t>
            </w:r>
            <w:r w:rsidRPr="008D17F0">
              <w:rPr>
                <w:rFonts w:ascii="Verdana" w:hAnsi="Verdana"/>
                <w:bCs/>
                <w:sz w:val="20"/>
                <w:szCs w:val="20"/>
              </w:rPr>
              <w:t xml:space="preserve"> in line with the </w:t>
            </w:r>
            <w:r>
              <w:rPr>
                <w:rFonts w:ascii="Verdana" w:hAnsi="Verdana"/>
                <w:bCs/>
                <w:sz w:val="20"/>
                <w:szCs w:val="20"/>
              </w:rPr>
              <w:t>templates for individual undertakings</w:t>
            </w:r>
            <w:r w:rsidRPr="008D17F0">
              <w:rPr>
                <w:rFonts w:ascii="Verdana" w:hAnsi="Verdana"/>
                <w:bCs/>
                <w:sz w:val="20"/>
                <w:szCs w:val="20"/>
              </w:rPr>
              <w:t>.</w:t>
            </w:r>
          </w:p>
        </w:tc>
      </w:tr>
      <w:tr w:rsidR="007A228B" w:rsidTr="007A228B">
        <w:tc>
          <w:tcPr>
            <w:tcW w:w="1542" w:type="dxa"/>
          </w:tcPr>
          <w:p w:rsidR="007A228B" w:rsidRPr="008D17F0" w:rsidRDefault="007A228B" w:rsidP="007A228B">
            <w:pPr>
              <w:pStyle w:val="NoSpacing"/>
              <w:jc w:val="both"/>
              <w:rPr>
                <w:rFonts w:ascii="Verdana" w:hAnsi="Verdana"/>
              </w:rPr>
            </w:pPr>
            <w:r w:rsidRPr="008D17F0">
              <w:rPr>
                <w:rFonts w:ascii="Verdana" w:hAnsi="Verdana"/>
              </w:rPr>
              <w:t>Stakeholder</w:t>
            </w:r>
          </w:p>
        </w:tc>
        <w:tc>
          <w:tcPr>
            <w:tcW w:w="1657" w:type="dxa"/>
          </w:tcPr>
          <w:p w:rsidR="007A228B" w:rsidRPr="008D17F0" w:rsidRDefault="007A228B" w:rsidP="007A228B">
            <w:pPr>
              <w:pStyle w:val="NoSpacing"/>
              <w:jc w:val="both"/>
              <w:rPr>
                <w:rFonts w:ascii="Verdana" w:hAnsi="Verdana"/>
                <w:bCs/>
                <w:sz w:val="20"/>
                <w:szCs w:val="20"/>
              </w:rPr>
            </w:pPr>
            <w:r w:rsidRPr="008D17F0">
              <w:rPr>
                <w:rFonts w:ascii="Verdana" w:hAnsi="Verdana"/>
                <w:bCs/>
                <w:sz w:val="20"/>
                <w:szCs w:val="20"/>
              </w:rPr>
              <w:t>S.23.01</w:t>
            </w:r>
            <w:r w:rsidR="008D17F0" w:rsidRPr="008D17F0">
              <w:rPr>
                <w:rFonts w:ascii="Verdana" w:hAnsi="Verdana"/>
                <w:bCs/>
                <w:sz w:val="20"/>
                <w:szCs w:val="20"/>
              </w:rPr>
              <w:t>.22</w:t>
            </w:r>
          </w:p>
          <w:p w:rsidR="008D17F0" w:rsidRPr="008D17F0" w:rsidRDefault="008D17F0" w:rsidP="007A228B">
            <w:pPr>
              <w:pStyle w:val="NoSpacing"/>
              <w:jc w:val="both"/>
              <w:rPr>
                <w:rFonts w:ascii="Verdana" w:hAnsi="Verdana"/>
              </w:rPr>
            </w:pPr>
            <w:r w:rsidRPr="008D17F0">
              <w:rPr>
                <w:rFonts w:ascii="Verdana" w:hAnsi="Verdana"/>
                <w:bCs/>
                <w:sz w:val="20"/>
                <w:szCs w:val="20"/>
              </w:rPr>
              <w:t>Groups</w:t>
            </w:r>
          </w:p>
        </w:tc>
        <w:tc>
          <w:tcPr>
            <w:tcW w:w="6115" w:type="dxa"/>
          </w:tcPr>
          <w:p w:rsidR="008D17F0" w:rsidRPr="007A228B" w:rsidRDefault="008D17F0" w:rsidP="008D17F0">
            <w:pPr>
              <w:pStyle w:val="NoSpacing"/>
              <w:jc w:val="both"/>
              <w:rPr>
                <w:rFonts w:ascii="Verdana" w:hAnsi="Verdana"/>
                <w:bCs/>
                <w:sz w:val="20"/>
                <w:szCs w:val="20"/>
                <w:highlight w:val="yellow"/>
              </w:rPr>
            </w:pPr>
            <w:r>
              <w:rPr>
                <w:rFonts w:ascii="Verdana" w:hAnsi="Verdana"/>
                <w:bCs/>
                <w:sz w:val="20"/>
                <w:szCs w:val="20"/>
              </w:rPr>
              <w:t>Item</w:t>
            </w:r>
            <w:r w:rsidRPr="008614CE">
              <w:rPr>
                <w:rFonts w:ascii="Verdana" w:hAnsi="Verdana"/>
                <w:bCs/>
                <w:sz w:val="20"/>
                <w:szCs w:val="20"/>
              </w:rPr>
              <w:t xml:space="preserve"> C0050/R02</w:t>
            </w:r>
            <w:r>
              <w:rPr>
                <w:rFonts w:ascii="Verdana" w:hAnsi="Verdana"/>
                <w:bCs/>
                <w:sz w:val="20"/>
                <w:szCs w:val="20"/>
              </w:rPr>
              <w:t>4</w:t>
            </w:r>
            <w:r w:rsidRPr="008614CE">
              <w:rPr>
                <w:rFonts w:ascii="Verdana" w:hAnsi="Verdana"/>
                <w:bCs/>
                <w:sz w:val="20"/>
                <w:szCs w:val="20"/>
              </w:rPr>
              <w:t xml:space="preserve">0 </w:t>
            </w:r>
            <w:r>
              <w:rPr>
                <w:rFonts w:ascii="Verdana" w:hAnsi="Verdana"/>
                <w:bCs/>
                <w:sz w:val="20"/>
                <w:szCs w:val="20"/>
              </w:rPr>
              <w:t xml:space="preserve">it’s crossed out </w:t>
            </w:r>
            <w:r>
              <w:rPr>
                <w:rFonts w:ascii="Verdana" w:hAnsi="Verdana"/>
                <w:bCs/>
                <w:sz w:val="20"/>
                <w:szCs w:val="20"/>
              </w:rPr>
              <w:t>now and it’s in line with the LOGs for the disclosure</w:t>
            </w:r>
            <w:r>
              <w:rPr>
                <w:rFonts w:ascii="Verdana" w:hAnsi="Verdana"/>
                <w:bCs/>
                <w:sz w:val="20"/>
                <w:szCs w:val="20"/>
              </w:rPr>
              <w:t>.</w:t>
            </w:r>
          </w:p>
        </w:tc>
      </w:tr>
      <w:tr w:rsidR="007A228B" w:rsidTr="007A228B">
        <w:tc>
          <w:tcPr>
            <w:tcW w:w="1542" w:type="dxa"/>
          </w:tcPr>
          <w:p w:rsidR="007A228B" w:rsidRPr="008D17F0" w:rsidRDefault="007A228B" w:rsidP="007A228B">
            <w:pPr>
              <w:pStyle w:val="NoSpacing"/>
              <w:rPr>
                <w:rFonts w:ascii="Verdana" w:hAnsi="Verdana"/>
              </w:rPr>
            </w:pPr>
            <w:r w:rsidRPr="008D17F0">
              <w:rPr>
                <w:rFonts w:ascii="Verdana" w:hAnsi="Verdana"/>
              </w:rPr>
              <w:t>Stakeholder</w:t>
            </w:r>
          </w:p>
        </w:tc>
        <w:tc>
          <w:tcPr>
            <w:tcW w:w="1657" w:type="dxa"/>
          </w:tcPr>
          <w:p w:rsidR="007A228B" w:rsidRPr="008D17F0" w:rsidRDefault="007A228B" w:rsidP="007A228B">
            <w:pPr>
              <w:pStyle w:val="NoSpacing"/>
              <w:rPr>
                <w:rFonts w:ascii="Verdana" w:hAnsi="Verdana"/>
                <w:bCs/>
                <w:sz w:val="20"/>
                <w:szCs w:val="20"/>
              </w:rPr>
            </w:pPr>
            <w:r w:rsidRPr="008D17F0">
              <w:rPr>
                <w:rFonts w:ascii="Verdana" w:hAnsi="Verdana"/>
                <w:bCs/>
                <w:sz w:val="20"/>
                <w:szCs w:val="20"/>
              </w:rPr>
              <w:t>S.23.01</w:t>
            </w:r>
            <w:r w:rsidR="008D17F0" w:rsidRPr="008D17F0">
              <w:rPr>
                <w:rFonts w:ascii="Verdana" w:hAnsi="Verdana"/>
                <w:bCs/>
                <w:sz w:val="20"/>
                <w:szCs w:val="20"/>
              </w:rPr>
              <w:t>.22</w:t>
            </w:r>
          </w:p>
          <w:p w:rsidR="008D17F0" w:rsidRPr="008D17F0" w:rsidRDefault="008D17F0" w:rsidP="007A228B">
            <w:pPr>
              <w:pStyle w:val="NoSpacing"/>
              <w:rPr>
                <w:rFonts w:ascii="Verdana" w:hAnsi="Verdana"/>
              </w:rPr>
            </w:pPr>
            <w:r w:rsidRPr="008D17F0">
              <w:rPr>
                <w:rFonts w:ascii="Verdana" w:hAnsi="Verdana"/>
                <w:bCs/>
                <w:sz w:val="20"/>
                <w:szCs w:val="20"/>
              </w:rPr>
              <w:t>Groups</w:t>
            </w:r>
          </w:p>
        </w:tc>
        <w:tc>
          <w:tcPr>
            <w:tcW w:w="6115" w:type="dxa"/>
          </w:tcPr>
          <w:p w:rsidR="008D17F0" w:rsidRPr="008D17F0" w:rsidRDefault="008D17F0" w:rsidP="008D17F0">
            <w:pPr>
              <w:pStyle w:val="NoSpacing"/>
              <w:rPr>
                <w:rFonts w:ascii="Verdana" w:hAnsi="Verdana"/>
                <w:bCs/>
                <w:sz w:val="20"/>
                <w:szCs w:val="20"/>
              </w:rPr>
            </w:pPr>
            <w:r w:rsidRPr="008D17F0">
              <w:rPr>
                <w:rFonts w:ascii="Verdana" w:hAnsi="Verdana"/>
                <w:bCs/>
                <w:sz w:val="20"/>
                <w:szCs w:val="20"/>
              </w:rPr>
              <w:t xml:space="preserve">Items </w:t>
            </w:r>
            <w:r w:rsidR="007A228B" w:rsidRPr="008D17F0">
              <w:rPr>
                <w:rFonts w:ascii="Verdana" w:hAnsi="Verdana"/>
                <w:bCs/>
                <w:sz w:val="20"/>
                <w:szCs w:val="20"/>
              </w:rPr>
              <w:t>C0040</w:t>
            </w:r>
            <w:r w:rsidRPr="008D17F0">
              <w:rPr>
                <w:rFonts w:ascii="Verdana" w:hAnsi="Verdana"/>
                <w:bCs/>
                <w:sz w:val="20"/>
                <w:szCs w:val="20"/>
              </w:rPr>
              <w:t xml:space="preserve">/R0350 </w:t>
            </w:r>
            <w:r w:rsidRPr="008D17F0">
              <w:rPr>
                <w:rFonts w:ascii="Verdana" w:hAnsi="Verdana"/>
                <w:bCs/>
                <w:sz w:val="20"/>
                <w:szCs w:val="20"/>
              </w:rPr>
              <w:t xml:space="preserve">and </w:t>
            </w:r>
            <w:r w:rsidR="007A228B" w:rsidRPr="008D17F0">
              <w:rPr>
                <w:rFonts w:ascii="Verdana" w:hAnsi="Verdana"/>
                <w:bCs/>
                <w:sz w:val="20"/>
                <w:szCs w:val="20"/>
              </w:rPr>
              <w:t xml:space="preserve">C0050/R0350 </w:t>
            </w:r>
            <w:r w:rsidRPr="008D17F0">
              <w:rPr>
                <w:rFonts w:ascii="Verdana" w:hAnsi="Verdana"/>
                <w:bCs/>
                <w:sz w:val="20"/>
                <w:szCs w:val="20"/>
              </w:rPr>
              <w:t xml:space="preserve">are </w:t>
            </w:r>
            <w:r w:rsidRPr="008D17F0">
              <w:rPr>
                <w:rFonts w:ascii="Verdana" w:hAnsi="Verdana"/>
                <w:bCs/>
                <w:sz w:val="20"/>
                <w:szCs w:val="20"/>
              </w:rPr>
              <w:t xml:space="preserve">not anymore crossed out </w:t>
            </w:r>
            <w:r w:rsidR="007A228B" w:rsidRPr="008D17F0">
              <w:rPr>
                <w:rFonts w:ascii="Verdana" w:hAnsi="Verdana"/>
                <w:bCs/>
                <w:sz w:val="20"/>
                <w:szCs w:val="20"/>
              </w:rPr>
              <w:t xml:space="preserve">as they exist in the </w:t>
            </w:r>
            <w:r w:rsidRPr="008D17F0">
              <w:rPr>
                <w:rFonts w:ascii="Verdana" w:hAnsi="Verdana"/>
                <w:bCs/>
                <w:sz w:val="20"/>
                <w:szCs w:val="20"/>
              </w:rPr>
              <w:t>LOG</w:t>
            </w:r>
            <w:r w:rsidR="007A228B" w:rsidRPr="008D17F0">
              <w:rPr>
                <w:rFonts w:ascii="Verdana" w:hAnsi="Verdana"/>
                <w:bCs/>
                <w:sz w:val="20"/>
                <w:szCs w:val="20"/>
              </w:rPr>
              <w:t xml:space="preserve">s and </w:t>
            </w:r>
            <w:r w:rsidRPr="008D17F0">
              <w:rPr>
                <w:rFonts w:ascii="Verdana" w:hAnsi="Verdana"/>
                <w:bCs/>
                <w:sz w:val="20"/>
                <w:szCs w:val="20"/>
              </w:rPr>
              <w:t xml:space="preserve">they </w:t>
            </w:r>
            <w:r w:rsidR="007A228B" w:rsidRPr="008D17F0">
              <w:rPr>
                <w:rFonts w:ascii="Verdana" w:hAnsi="Verdana"/>
                <w:bCs/>
                <w:sz w:val="20"/>
                <w:szCs w:val="20"/>
              </w:rPr>
              <w:t xml:space="preserve">also exist in the annotated templates. </w:t>
            </w:r>
          </w:p>
          <w:p w:rsidR="007A228B" w:rsidRPr="007A228B" w:rsidRDefault="007A228B" w:rsidP="008D17F0">
            <w:pPr>
              <w:pStyle w:val="NoSpacing"/>
              <w:rPr>
                <w:rFonts w:ascii="Verdana" w:hAnsi="Verdana"/>
                <w:bCs/>
                <w:sz w:val="20"/>
                <w:szCs w:val="20"/>
                <w:highlight w:val="yellow"/>
              </w:rPr>
            </w:pPr>
            <w:r w:rsidRPr="008D17F0">
              <w:rPr>
                <w:rFonts w:ascii="Verdana" w:hAnsi="Verdana"/>
                <w:bCs/>
                <w:sz w:val="20"/>
                <w:szCs w:val="20"/>
              </w:rPr>
              <w:t>Moreover there was a problem with the order of the rows that was corrected as well.</w:t>
            </w:r>
          </w:p>
        </w:tc>
      </w:tr>
      <w:tr w:rsidR="007A228B" w:rsidTr="007A228B">
        <w:tc>
          <w:tcPr>
            <w:tcW w:w="1542" w:type="dxa"/>
          </w:tcPr>
          <w:p w:rsidR="007A228B" w:rsidRPr="008D17F0" w:rsidRDefault="008D17F0" w:rsidP="007A228B">
            <w:pPr>
              <w:pStyle w:val="NoSpacing"/>
              <w:jc w:val="center"/>
              <w:rPr>
                <w:rFonts w:ascii="Verdana" w:hAnsi="Verdana"/>
                <w:b/>
              </w:rPr>
            </w:pPr>
            <w:r w:rsidRPr="008D17F0">
              <w:rPr>
                <w:rFonts w:ascii="Verdana" w:hAnsi="Verdana"/>
              </w:rPr>
              <w:t>Stakeholder</w:t>
            </w:r>
          </w:p>
        </w:tc>
        <w:tc>
          <w:tcPr>
            <w:tcW w:w="1657" w:type="dxa"/>
          </w:tcPr>
          <w:p w:rsidR="007A228B" w:rsidRPr="008D17F0" w:rsidRDefault="007A228B" w:rsidP="007A228B">
            <w:pPr>
              <w:pStyle w:val="NoSpacing"/>
              <w:rPr>
                <w:rFonts w:ascii="Verdana" w:hAnsi="Verdana"/>
                <w:bCs/>
                <w:sz w:val="20"/>
                <w:szCs w:val="20"/>
              </w:rPr>
            </w:pPr>
            <w:r w:rsidRPr="008D17F0">
              <w:rPr>
                <w:rFonts w:ascii="Verdana" w:hAnsi="Verdana"/>
                <w:bCs/>
                <w:sz w:val="20"/>
                <w:szCs w:val="20"/>
              </w:rPr>
              <w:t>S.23.01</w:t>
            </w:r>
            <w:r w:rsidR="008D17F0" w:rsidRPr="008D17F0">
              <w:rPr>
                <w:rFonts w:ascii="Verdana" w:hAnsi="Verdana"/>
                <w:bCs/>
                <w:sz w:val="20"/>
                <w:szCs w:val="20"/>
              </w:rPr>
              <w:t>.22</w:t>
            </w:r>
          </w:p>
          <w:p w:rsidR="008D17F0" w:rsidRPr="008D17F0" w:rsidRDefault="008D17F0" w:rsidP="007A228B">
            <w:pPr>
              <w:pStyle w:val="NoSpacing"/>
              <w:rPr>
                <w:rFonts w:ascii="Verdana" w:hAnsi="Verdana"/>
                <w:bCs/>
                <w:sz w:val="20"/>
                <w:szCs w:val="20"/>
              </w:rPr>
            </w:pPr>
            <w:r w:rsidRPr="008D17F0">
              <w:rPr>
                <w:rFonts w:ascii="Verdana" w:hAnsi="Verdana"/>
                <w:bCs/>
                <w:sz w:val="20"/>
                <w:szCs w:val="20"/>
              </w:rPr>
              <w:t>Groups</w:t>
            </w:r>
          </w:p>
        </w:tc>
        <w:tc>
          <w:tcPr>
            <w:tcW w:w="6115" w:type="dxa"/>
          </w:tcPr>
          <w:p w:rsidR="007A228B" w:rsidRPr="007A228B" w:rsidRDefault="008D17F0" w:rsidP="008D17F0">
            <w:pPr>
              <w:pStyle w:val="NoSpacing"/>
              <w:rPr>
                <w:rFonts w:ascii="Verdana" w:hAnsi="Verdana"/>
                <w:bCs/>
                <w:sz w:val="20"/>
                <w:szCs w:val="20"/>
                <w:highlight w:val="yellow"/>
              </w:rPr>
            </w:pPr>
            <w:r w:rsidRPr="008D17F0">
              <w:rPr>
                <w:rFonts w:ascii="Verdana" w:hAnsi="Verdana"/>
                <w:bCs/>
                <w:sz w:val="20"/>
                <w:szCs w:val="20"/>
              </w:rPr>
              <w:t xml:space="preserve">Items in </w:t>
            </w:r>
            <w:r w:rsidR="007A228B" w:rsidRPr="008D17F0">
              <w:rPr>
                <w:rFonts w:ascii="Verdana" w:hAnsi="Verdana"/>
                <w:bCs/>
                <w:sz w:val="20"/>
                <w:szCs w:val="20"/>
              </w:rPr>
              <w:t xml:space="preserve">R0770+R0780+R0790 to the right of C0060 </w:t>
            </w:r>
            <w:r w:rsidRPr="008D17F0">
              <w:rPr>
                <w:rFonts w:ascii="Verdana" w:hAnsi="Verdana"/>
                <w:bCs/>
                <w:sz w:val="20"/>
                <w:szCs w:val="20"/>
              </w:rPr>
              <w:t>are crossed out</w:t>
            </w:r>
            <w:r w:rsidR="007A228B" w:rsidRPr="008D17F0">
              <w:rPr>
                <w:rFonts w:ascii="Verdana" w:hAnsi="Verdana"/>
                <w:bCs/>
                <w:sz w:val="20"/>
                <w:szCs w:val="20"/>
              </w:rPr>
              <w:t xml:space="preserve"> as there </w:t>
            </w:r>
            <w:r w:rsidRPr="008D17F0">
              <w:rPr>
                <w:rFonts w:ascii="Verdana" w:hAnsi="Verdana"/>
                <w:bCs/>
                <w:sz w:val="20"/>
                <w:szCs w:val="20"/>
              </w:rPr>
              <w:t>aren’t any descriptions in the LOG</w:t>
            </w:r>
            <w:r w:rsidR="007A228B" w:rsidRPr="008D17F0">
              <w:rPr>
                <w:rFonts w:ascii="Verdana" w:hAnsi="Verdana"/>
                <w:bCs/>
                <w:sz w:val="20"/>
                <w:szCs w:val="20"/>
              </w:rPr>
              <w:t>s nor are there fields in the annotated templates.</w:t>
            </w:r>
          </w:p>
        </w:tc>
      </w:tr>
      <w:tr w:rsidR="007A228B" w:rsidTr="007A228B">
        <w:tc>
          <w:tcPr>
            <w:tcW w:w="1542" w:type="dxa"/>
          </w:tcPr>
          <w:p w:rsidR="007A228B" w:rsidRPr="008D17F0" w:rsidRDefault="008D17F0" w:rsidP="007A228B">
            <w:pPr>
              <w:pStyle w:val="NoSpacing"/>
              <w:jc w:val="both"/>
              <w:rPr>
                <w:rFonts w:ascii="Verdana" w:hAnsi="Verdana"/>
              </w:rPr>
            </w:pPr>
            <w:r w:rsidRPr="008D17F0">
              <w:rPr>
                <w:rFonts w:ascii="Verdana" w:hAnsi="Verdana"/>
              </w:rPr>
              <w:t>Stakeholder</w:t>
            </w:r>
          </w:p>
        </w:tc>
        <w:tc>
          <w:tcPr>
            <w:tcW w:w="1657" w:type="dxa"/>
          </w:tcPr>
          <w:p w:rsidR="007A228B" w:rsidRPr="008D17F0" w:rsidRDefault="007A228B" w:rsidP="007A228B">
            <w:pPr>
              <w:pStyle w:val="NoSpacing"/>
              <w:jc w:val="both"/>
              <w:rPr>
                <w:rFonts w:ascii="Verdana" w:hAnsi="Verdana"/>
              </w:rPr>
            </w:pPr>
            <w:r w:rsidRPr="008D17F0">
              <w:rPr>
                <w:rFonts w:ascii="Verdana" w:hAnsi="Verdana"/>
                <w:bCs/>
                <w:sz w:val="20"/>
                <w:szCs w:val="20"/>
              </w:rPr>
              <w:t>S.23.01</w:t>
            </w:r>
          </w:p>
        </w:tc>
        <w:tc>
          <w:tcPr>
            <w:tcW w:w="6115" w:type="dxa"/>
          </w:tcPr>
          <w:p w:rsidR="007A228B" w:rsidRPr="008D17F0" w:rsidRDefault="007A228B" w:rsidP="007A228B">
            <w:pPr>
              <w:pStyle w:val="NoSpacing"/>
              <w:rPr>
                <w:rFonts w:ascii="Verdana" w:hAnsi="Verdana"/>
                <w:bCs/>
                <w:sz w:val="20"/>
                <w:szCs w:val="20"/>
              </w:rPr>
            </w:pPr>
            <w:r w:rsidRPr="008D17F0">
              <w:rPr>
                <w:rFonts w:ascii="Verdana" w:hAnsi="Verdana"/>
                <w:bCs/>
                <w:sz w:val="20"/>
                <w:szCs w:val="20"/>
              </w:rPr>
              <w:t>The instructions for the item R0440/C0050 were added after the instructions for the item R0440/C0040.</w:t>
            </w:r>
          </w:p>
        </w:tc>
      </w:tr>
    </w:tbl>
    <w:p w:rsidR="002E3CDB" w:rsidRPr="00C77512" w:rsidRDefault="002E3CDB" w:rsidP="002E3CDB">
      <w:pPr>
        <w:pStyle w:val="NoSpacing"/>
        <w:jc w:val="both"/>
        <w:rPr>
          <w:rFonts w:ascii="Verdana" w:hAnsi="Verdana"/>
        </w:rPr>
      </w:pPr>
      <w:bookmarkStart w:id="0" w:name="_GoBack"/>
      <w:bookmarkEnd w:id="0"/>
    </w:p>
    <w:sectPr w:rsidR="002E3CDB" w:rsidRPr="00C775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992" w:rsidRDefault="00BE6992" w:rsidP="00BE6992">
      <w:pPr>
        <w:spacing w:after="0" w:line="240" w:lineRule="auto"/>
      </w:pPr>
      <w:r>
        <w:separator/>
      </w:r>
    </w:p>
  </w:endnote>
  <w:endnote w:type="continuationSeparator" w:id="0">
    <w:p w:rsidR="00BE6992" w:rsidRDefault="00BE6992" w:rsidP="00BE6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992" w:rsidRDefault="00BE6992" w:rsidP="00BE6992">
      <w:pPr>
        <w:spacing w:after="0" w:line="240" w:lineRule="auto"/>
      </w:pPr>
      <w:r>
        <w:separator/>
      </w:r>
    </w:p>
  </w:footnote>
  <w:footnote w:type="continuationSeparator" w:id="0">
    <w:p w:rsidR="00BE6992" w:rsidRDefault="00BE6992" w:rsidP="00BE69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3967"/>
    <w:multiLevelType w:val="hybridMultilevel"/>
    <w:tmpl w:val="63CE5732"/>
    <w:lvl w:ilvl="0" w:tplc="25FCA1D8">
      <w:start w:val="1"/>
      <w:numFmt w:val="lowerLetter"/>
      <w:lvlText w:val="%1)"/>
      <w:lvlJc w:val="left"/>
      <w:pPr>
        <w:ind w:left="750" w:hanging="360"/>
      </w:pPr>
      <w:rPr>
        <w:rFonts w:hint="default"/>
      </w:rPr>
    </w:lvl>
    <w:lvl w:ilvl="1" w:tplc="08090019">
      <w:start w:val="1"/>
      <w:numFmt w:val="lowerLetter"/>
      <w:lvlText w:val="%2."/>
      <w:lvlJc w:val="left"/>
      <w:pPr>
        <w:ind w:left="1470" w:hanging="360"/>
      </w:pPr>
    </w:lvl>
    <w:lvl w:ilvl="2" w:tplc="0809001B" w:tentative="1">
      <w:start w:val="1"/>
      <w:numFmt w:val="lowerRoman"/>
      <w:lvlText w:val="%3."/>
      <w:lvlJc w:val="right"/>
      <w:pPr>
        <w:ind w:left="2190" w:hanging="180"/>
      </w:pPr>
    </w:lvl>
    <w:lvl w:ilvl="3" w:tplc="0809000F" w:tentative="1">
      <w:start w:val="1"/>
      <w:numFmt w:val="decimal"/>
      <w:lvlText w:val="%4."/>
      <w:lvlJc w:val="left"/>
      <w:pPr>
        <w:ind w:left="2910" w:hanging="360"/>
      </w:pPr>
    </w:lvl>
    <w:lvl w:ilvl="4" w:tplc="08090019" w:tentative="1">
      <w:start w:val="1"/>
      <w:numFmt w:val="lowerLetter"/>
      <w:lvlText w:val="%5."/>
      <w:lvlJc w:val="left"/>
      <w:pPr>
        <w:ind w:left="3630" w:hanging="360"/>
      </w:pPr>
    </w:lvl>
    <w:lvl w:ilvl="5" w:tplc="0809001B" w:tentative="1">
      <w:start w:val="1"/>
      <w:numFmt w:val="lowerRoman"/>
      <w:lvlText w:val="%6."/>
      <w:lvlJc w:val="right"/>
      <w:pPr>
        <w:ind w:left="4350" w:hanging="180"/>
      </w:pPr>
    </w:lvl>
    <w:lvl w:ilvl="6" w:tplc="0809000F" w:tentative="1">
      <w:start w:val="1"/>
      <w:numFmt w:val="decimal"/>
      <w:lvlText w:val="%7."/>
      <w:lvlJc w:val="left"/>
      <w:pPr>
        <w:ind w:left="5070" w:hanging="360"/>
      </w:pPr>
    </w:lvl>
    <w:lvl w:ilvl="7" w:tplc="08090019" w:tentative="1">
      <w:start w:val="1"/>
      <w:numFmt w:val="lowerLetter"/>
      <w:lvlText w:val="%8."/>
      <w:lvlJc w:val="left"/>
      <w:pPr>
        <w:ind w:left="5790" w:hanging="360"/>
      </w:pPr>
    </w:lvl>
    <w:lvl w:ilvl="8" w:tplc="0809001B" w:tentative="1">
      <w:start w:val="1"/>
      <w:numFmt w:val="lowerRoman"/>
      <w:lvlText w:val="%9."/>
      <w:lvlJc w:val="right"/>
      <w:pPr>
        <w:ind w:left="6510" w:hanging="180"/>
      </w:pPr>
    </w:lvl>
  </w:abstractNum>
  <w:abstractNum w:abstractNumId="1">
    <w:nsid w:val="04C400B8"/>
    <w:multiLevelType w:val="hybridMultilevel"/>
    <w:tmpl w:val="63CE5732"/>
    <w:lvl w:ilvl="0" w:tplc="25FCA1D8">
      <w:start w:val="1"/>
      <w:numFmt w:val="lowerLetter"/>
      <w:lvlText w:val="%1)"/>
      <w:lvlJc w:val="left"/>
      <w:pPr>
        <w:ind w:left="750" w:hanging="360"/>
      </w:pPr>
      <w:rPr>
        <w:rFonts w:hint="default"/>
      </w:rPr>
    </w:lvl>
    <w:lvl w:ilvl="1" w:tplc="08090019" w:tentative="1">
      <w:start w:val="1"/>
      <w:numFmt w:val="lowerLetter"/>
      <w:lvlText w:val="%2."/>
      <w:lvlJc w:val="left"/>
      <w:pPr>
        <w:ind w:left="1470" w:hanging="360"/>
      </w:pPr>
    </w:lvl>
    <w:lvl w:ilvl="2" w:tplc="0809001B" w:tentative="1">
      <w:start w:val="1"/>
      <w:numFmt w:val="lowerRoman"/>
      <w:lvlText w:val="%3."/>
      <w:lvlJc w:val="right"/>
      <w:pPr>
        <w:ind w:left="2190" w:hanging="180"/>
      </w:pPr>
    </w:lvl>
    <w:lvl w:ilvl="3" w:tplc="0809000F" w:tentative="1">
      <w:start w:val="1"/>
      <w:numFmt w:val="decimal"/>
      <w:lvlText w:val="%4."/>
      <w:lvlJc w:val="left"/>
      <w:pPr>
        <w:ind w:left="2910" w:hanging="360"/>
      </w:pPr>
    </w:lvl>
    <w:lvl w:ilvl="4" w:tplc="08090019" w:tentative="1">
      <w:start w:val="1"/>
      <w:numFmt w:val="lowerLetter"/>
      <w:lvlText w:val="%5."/>
      <w:lvlJc w:val="left"/>
      <w:pPr>
        <w:ind w:left="3630" w:hanging="360"/>
      </w:pPr>
    </w:lvl>
    <w:lvl w:ilvl="5" w:tplc="0809001B" w:tentative="1">
      <w:start w:val="1"/>
      <w:numFmt w:val="lowerRoman"/>
      <w:lvlText w:val="%6."/>
      <w:lvlJc w:val="right"/>
      <w:pPr>
        <w:ind w:left="4350" w:hanging="180"/>
      </w:pPr>
    </w:lvl>
    <w:lvl w:ilvl="6" w:tplc="0809000F" w:tentative="1">
      <w:start w:val="1"/>
      <w:numFmt w:val="decimal"/>
      <w:lvlText w:val="%7."/>
      <w:lvlJc w:val="left"/>
      <w:pPr>
        <w:ind w:left="5070" w:hanging="360"/>
      </w:pPr>
    </w:lvl>
    <w:lvl w:ilvl="7" w:tplc="08090019" w:tentative="1">
      <w:start w:val="1"/>
      <w:numFmt w:val="lowerLetter"/>
      <w:lvlText w:val="%8."/>
      <w:lvlJc w:val="left"/>
      <w:pPr>
        <w:ind w:left="5790" w:hanging="360"/>
      </w:pPr>
    </w:lvl>
    <w:lvl w:ilvl="8" w:tplc="0809001B" w:tentative="1">
      <w:start w:val="1"/>
      <w:numFmt w:val="lowerRoman"/>
      <w:lvlText w:val="%9."/>
      <w:lvlJc w:val="right"/>
      <w:pPr>
        <w:ind w:left="6510" w:hanging="180"/>
      </w:pPr>
    </w:lvl>
  </w:abstractNum>
  <w:abstractNum w:abstractNumId="2">
    <w:nsid w:val="05523EC5"/>
    <w:multiLevelType w:val="hybridMultilevel"/>
    <w:tmpl w:val="73586702"/>
    <w:lvl w:ilvl="0" w:tplc="FFF28878">
      <w:start w:val="1"/>
      <w:numFmt w:val="lowerLetter"/>
      <w:lvlText w:val="%1)"/>
      <w:lvlJc w:val="left"/>
      <w:pPr>
        <w:ind w:left="750" w:hanging="360"/>
      </w:pPr>
      <w:rPr>
        <w:rFonts w:hint="default"/>
      </w:rPr>
    </w:lvl>
    <w:lvl w:ilvl="1" w:tplc="08090019" w:tentative="1">
      <w:start w:val="1"/>
      <w:numFmt w:val="lowerLetter"/>
      <w:lvlText w:val="%2."/>
      <w:lvlJc w:val="left"/>
      <w:pPr>
        <w:ind w:left="1470" w:hanging="360"/>
      </w:pPr>
    </w:lvl>
    <w:lvl w:ilvl="2" w:tplc="0809001B" w:tentative="1">
      <w:start w:val="1"/>
      <w:numFmt w:val="lowerRoman"/>
      <w:lvlText w:val="%3."/>
      <w:lvlJc w:val="right"/>
      <w:pPr>
        <w:ind w:left="2190" w:hanging="180"/>
      </w:pPr>
    </w:lvl>
    <w:lvl w:ilvl="3" w:tplc="0809000F" w:tentative="1">
      <w:start w:val="1"/>
      <w:numFmt w:val="decimal"/>
      <w:lvlText w:val="%4."/>
      <w:lvlJc w:val="left"/>
      <w:pPr>
        <w:ind w:left="2910" w:hanging="360"/>
      </w:pPr>
    </w:lvl>
    <w:lvl w:ilvl="4" w:tplc="08090019" w:tentative="1">
      <w:start w:val="1"/>
      <w:numFmt w:val="lowerLetter"/>
      <w:lvlText w:val="%5."/>
      <w:lvlJc w:val="left"/>
      <w:pPr>
        <w:ind w:left="3630" w:hanging="360"/>
      </w:pPr>
    </w:lvl>
    <w:lvl w:ilvl="5" w:tplc="0809001B" w:tentative="1">
      <w:start w:val="1"/>
      <w:numFmt w:val="lowerRoman"/>
      <w:lvlText w:val="%6."/>
      <w:lvlJc w:val="right"/>
      <w:pPr>
        <w:ind w:left="4350" w:hanging="180"/>
      </w:pPr>
    </w:lvl>
    <w:lvl w:ilvl="6" w:tplc="0809000F" w:tentative="1">
      <w:start w:val="1"/>
      <w:numFmt w:val="decimal"/>
      <w:lvlText w:val="%7."/>
      <w:lvlJc w:val="left"/>
      <w:pPr>
        <w:ind w:left="5070" w:hanging="360"/>
      </w:pPr>
    </w:lvl>
    <w:lvl w:ilvl="7" w:tplc="08090019" w:tentative="1">
      <w:start w:val="1"/>
      <w:numFmt w:val="lowerLetter"/>
      <w:lvlText w:val="%8."/>
      <w:lvlJc w:val="left"/>
      <w:pPr>
        <w:ind w:left="5790" w:hanging="360"/>
      </w:pPr>
    </w:lvl>
    <w:lvl w:ilvl="8" w:tplc="0809001B" w:tentative="1">
      <w:start w:val="1"/>
      <w:numFmt w:val="lowerRoman"/>
      <w:lvlText w:val="%9."/>
      <w:lvlJc w:val="right"/>
      <w:pPr>
        <w:ind w:left="6510" w:hanging="180"/>
      </w:pPr>
    </w:lvl>
  </w:abstractNum>
  <w:abstractNum w:abstractNumId="3">
    <w:nsid w:val="17D21079"/>
    <w:multiLevelType w:val="hybridMultilevel"/>
    <w:tmpl w:val="33DAB7A8"/>
    <w:lvl w:ilvl="0" w:tplc="25FCA1D8">
      <w:start w:val="1"/>
      <w:numFmt w:val="lowerLetter"/>
      <w:lvlText w:val="%1)"/>
      <w:lvlJc w:val="left"/>
      <w:pPr>
        <w:ind w:left="75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08F408F"/>
    <w:multiLevelType w:val="hybridMultilevel"/>
    <w:tmpl w:val="63CE5732"/>
    <w:lvl w:ilvl="0" w:tplc="25FCA1D8">
      <w:start w:val="1"/>
      <w:numFmt w:val="lowerLetter"/>
      <w:lvlText w:val="%1)"/>
      <w:lvlJc w:val="left"/>
      <w:pPr>
        <w:ind w:left="750" w:hanging="360"/>
      </w:pPr>
      <w:rPr>
        <w:rFonts w:hint="default"/>
      </w:rPr>
    </w:lvl>
    <w:lvl w:ilvl="1" w:tplc="08090019" w:tentative="1">
      <w:start w:val="1"/>
      <w:numFmt w:val="lowerLetter"/>
      <w:lvlText w:val="%2."/>
      <w:lvlJc w:val="left"/>
      <w:pPr>
        <w:ind w:left="1470" w:hanging="360"/>
      </w:pPr>
    </w:lvl>
    <w:lvl w:ilvl="2" w:tplc="0809001B" w:tentative="1">
      <w:start w:val="1"/>
      <w:numFmt w:val="lowerRoman"/>
      <w:lvlText w:val="%3."/>
      <w:lvlJc w:val="right"/>
      <w:pPr>
        <w:ind w:left="2190" w:hanging="180"/>
      </w:pPr>
    </w:lvl>
    <w:lvl w:ilvl="3" w:tplc="0809000F" w:tentative="1">
      <w:start w:val="1"/>
      <w:numFmt w:val="decimal"/>
      <w:lvlText w:val="%4."/>
      <w:lvlJc w:val="left"/>
      <w:pPr>
        <w:ind w:left="2910" w:hanging="360"/>
      </w:pPr>
    </w:lvl>
    <w:lvl w:ilvl="4" w:tplc="08090019" w:tentative="1">
      <w:start w:val="1"/>
      <w:numFmt w:val="lowerLetter"/>
      <w:lvlText w:val="%5."/>
      <w:lvlJc w:val="left"/>
      <w:pPr>
        <w:ind w:left="3630" w:hanging="360"/>
      </w:pPr>
    </w:lvl>
    <w:lvl w:ilvl="5" w:tplc="0809001B" w:tentative="1">
      <w:start w:val="1"/>
      <w:numFmt w:val="lowerRoman"/>
      <w:lvlText w:val="%6."/>
      <w:lvlJc w:val="right"/>
      <w:pPr>
        <w:ind w:left="4350" w:hanging="180"/>
      </w:pPr>
    </w:lvl>
    <w:lvl w:ilvl="6" w:tplc="0809000F" w:tentative="1">
      <w:start w:val="1"/>
      <w:numFmt w:val="decimal"/>
      <w:lvlText w:val="%7."/>
      <w:lvlJc w:val="left"/>
      <w:pPr>
        <w:ind w:left="5070" w:hanging="360"/>
      </w:pPr>
    </w:lvl>
    <w:lvl w:ilvl="7" w:tplc="08090019" w:tentative="1">
      <w:start w:val="1"/>
      <w:numFmt w:val="lowerLetter"/>
      <w:lvlText w:val="%8."/>
      <w:lvlJc w:val="left"/>
      <w:pPr>
        <w:ind w:left="5790" w:hanging="360"/>
      </w:pPr>
    </w:lvl>
    <w:lvl w:ilvl="8" w:tplc="0809001B" w:tentative="1">
      <w:start w:val="1"/>
      <w:numFmt w:val="lowerRoman"/>
      <w:lvlText w:val="%9."/>
      <w:lvlJc w:val="right"/>
      <w:pPr>
        <w:ind w:left="6510" w:hanging="180"/>
      </w:pPr>
    </w:lvl>
  </w:abstractNum>
  <w:abstractNum w:abstractNumId="5">
    <w:nsid w:val="24A34BE9"/>
    <w:multiLevelType w:val="hybridMultilevel"/>
    <w:tmpl w:val="63CE5732"/>
    <w:lvl w:ilvl="0" w:tplc="25FCA1D8">
      <w:start w:val="1"/>
      <w:numFmt w:val="lowerLetter"/>
      <w:lvlText w:val="%1)"/>
      <w:lvlJc w:val="left"/>
      <w:pPr>
        <w:ind w:left="750" w:hanging="360"/>
      </w:pPr>
      <w:rPr>
        <w:rFonts w:hint="default"/>
      </w:rPr>
    </w:lvl>
    <w:lvl w:ilvl="1" w:tplc="08090019" w:tentative="1">
      <w:start w:val="1"/>
      <w:numFmt w:val="lowerLetter"/>
      <w:lvlText w:val="%2."/>
      <w:lvlJc w:val="left"/>
      <w:pPr>
        <w:ind w:left="1470" w:hanging="360"/>
      </w:pPr>
    </w:lvl>
    <w:lvl w:ilvl="2" w:tplc="0809001B" w:tentative="1">
      <w:start w:val="1"/>
      <w:numFmt w:val="lowerRoman"/>
      <w:lvlText w:val="%3."/>
      <w:lvlJc w:val="right"/>
      <w:pPr>
        <w:ind w:left="2190" w:hanging="180"/>
      </w:pPr>
    </w:lvl>
    <w:lvl w:ilvl="3" w:tplc="0809000F" w:tentative="1">
      <w:start w:val="1"/>
      <w:numFmt w:val="decimal"/>
      <w:lvlText w:val="%4."/>
      <w:lvlJc w:val="left"/>
      <w:pPr>
        <w:ind w:left="2910" w:hanging="360"/>
      </w:pPr>
    </w:lvl>
    <w:lvl w:ilvl="4" w:tplc="08090019" w:tentative="1">
      <w:start w:val="1"/>
      <w:numFmt w:val="lowerLetter"/>
      <w:lvlText w:val="%5."/>
      <w:lvlJc w:val="left"/>
      <w:pPr>
        <w:ind w:left="3630" w:hanging="360"/>
      </w:pPr>
    </w:lvl>
    <w:lvl w:ilvl="5" w:tplc="0809001B" w:tentative="1">
      <w:start w:val="1"/>
      <w:numFmt w:val="lowerRoman"/>
      <w:lvlText w:val="%6."/>
      <w:lvlJc w:val="right"/>
      <w:pPr>
        <w:ind w:left="4350" w:hanging="180"/>
      </w:pPr>
    </w:lvl>
    <w:lvl w:ilvl="6" w:tplc="0809000F" w:tentative="1">
      <w:start w:val="1"/>
      <w:numFmt w:val="decimal"/>
      <w:lvlText w:val="%7."/>
      <w:lvlJc w:val="left"/>
      <w:pPr>
        <w:ind w:left="5070" w:hanging="360"/>
      </w:pPr>
    </w:lvl>
    <w:lvl w:ilvl="7" w:tplc="08090019" w:tentative="1">
      <w:start w:val="1"/>
      <w:numFmt w:val="lowerLetter"/>
      <w:lvlText w:val="%8."/>
      <w:lvlJc w:val="left"/>
      <w:pPr>
        <w:ind w:left="5790" w:hanging="360"/>
      </w:pPr>
    </w:lvl>
    <w:lvl w:ilvl="8" w:tplc="0809001B" w:tentative="1">
      <w:start w:val="1"/>
      <w:numFmt w:val="lowerRoman"/>
      <w:lvlText w:val="%9."/>
      <w:lvlJc w:val="right"/>
      <w:pPr>
        <w:ind w:left="6510" w:hanging="180"/>
      </w:pPr>
    </w:lvl>
  </w:abstractNum>
  <w:abstractNum w:abstractNumId="6">
    <w:nsid w:val="2F480E97"/>
    <w:multiLevelType w:val="hybridMultilevel"/>
    <w:tmpl w:val="BCA22708"/>
    <w:lvl w:ilvl="0" w:tplc="08090001">
      <w:start w:val="1"/>
      <w:numFmt w:val="bullet"/>
      <w:lvlText w:val=""/>
      <w:lvlJc w:val="left"/>
      <w:pPr>
        <w:ind w:left="1065" w:hanging="360"/>
      </w:pPr>
      <w:rPr>
        <w:rFonts w:ascii="Symbol" w:hAnsi="Symbol"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7">
    <w:nsid w:val="347D602A"/>
    <w:multiLevelType w:val="hybridMultilevel"/>
    <w:tmpl w:val="D304B78E"/>
    <w:lvl w:ilvl="0" w:tplc="08090001">
      <w:start w:val="1"/>
      <w:numFmt w:val="bullet"/>
      <w:lvlText w:val=""/>
      <w:lvlJc w:val="left"/>
      <w:pPr>
        <w:ind w:left="1065" w:hanging="360"/>
      </w:pPr>
      <w:rPr>
        <w:rFonts w:ascii="Symbol" w:hAnsi="Symbol"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8">
    <w:nsid w:val="3E77293F"/>
    <w:multiLevelType w:val="hybridMultilevel"/>
    <w:tmpl w:val="019ABB60"/>
    <w:lvl w:ilvl="0" w:tplc="25FCA1D8">
      <w:start w:val="1"/>
      <w:numFmt w:val="lowerLetter"/>
      <w:lvlText w:val="%1)"/>
      <w:lvlJc w:val="left"/>
      <w:pPr>
        <w:ind w:left="750" w:hanging="360"/>
      </w:pPr>
      <w:rPr>
        <w:rFonts w:hint="default"/>
      </w:rPr>
    </w:lvl>
    <w:lvl w:ilvl="1" w:tplc="08090019" w:tentative="1">
      <w:start w:val="1"/>
      <w:numFmt w:val="lowerLetter"/>
      <w:lvlText w:val="%2."/>
      <w:lvlJc w:val="left"/>
      <w:pPr>
        <w:ind w:left="1470" w:hanging="360"/>
      </w:pPr>
    </w:lvl>
    <w:lvl w:ilvl="2" w:tplc="0809001B" w:tentative="1">
      <w:start w:val="1"/>
      <w:numFmt w:val="lowerRoman"/>
      <w:lvlText w:val="%3."/>
      <w:lvlJc w:val="right"/>
      <w:pPr>
        <w:ind w:left="2190" w:hanging="180"/>
      </w:pPr>
    </w:lvl>
    <w:lvl w:ilvl="3" w:tplc="0809000F" w:tentative="1">
      <w:start w:val="1"/>
      <w:numFmt w:val="decimal"/>
      <w:lvlText w:val="%4."/>
      <w:lvlJc w:val="left"/>
      <w:pPr>
        <w:ind w:left="2910" w:hanging="360"/>
      </w:pPr>
    </w:lvl>
    <w:lvl w:ilvl="4" w:tplc="08090019" w:tentative="1">
      <w:start w:val="1"/>
      <w:numFmt w:val="lowerLetter"/>
      <w:lvlText w:val="%5."/>
      <w:lvlJc w:val="left"/>
      <w:pPr>
        <w:ind w:left="3630" w:hanging="360"/>
      </w:pPr>
    </w:lvl>
    <w:lvl w:ilvl="5" w:tplc="0809001B" w:tentative="1">
      <w:start w:val="1"/>
      <w:numFmt w:val="lowerRoman"/>
      <w:lvlText w:val="%6."/>
      <w:lvlJc w:val="right"/>
      <w:pPr>
        <w:ind w:left="4350" w:hanging="180"/>
      </w:pPr>
    </w:lvl>
    <w:lvl w:ilvl="6" w:tplc="0809000F" w:tentative="1">
      <w:start w:val="1"/>
      <w:numFmt w:val="decimal"/>
      <w:lvlText w:val="%7."/>
      <w:lvlJc w:val="left"/>
      <w:pPr>
        <w:ind w:left="5070" w:hanging="360"/>
      </w:pPr>
    </w:lvl>
    <w:lvl w:ilvl="7" w:tplc="08090019" w:tentative="1">
      <w:start w:val="1"/>
      <w:numFmt w:val="lowerLetter"/>
      <w:lvlText w:val="%8."/>
      <w:lvlJc w:val="left"/>
      <w:pPr>
        <w:ind w:left="5790" w:hanging="360"/>
      </w:pPr>
    </w:lvl>
    <w:lvl w:ilvl="8" w:tplc="0809001B" w:tentative="1">
      <w:start w:val="1"/>
      <w:numFmt w:val="lowerRoman"/>
      <w:lvlText w:val="%9."/>
      <w:lvlJc w:val="right"/>
      <w:pPr>
        <w:ind w:left="6510" w:hanging="180"/>
      </w:pPr>
    </w:lvl>
  </w:abstractNum>
  <w:abstractNum w:abstractNumId="9">
    <w:nsid w:val="4EC10184"/>
    <w:multiLevelType w:val="hybridMultilevel"/>
    <w:tmpl w:val="A9407B0C"/>
    <w:lvl w:ilvl="0" w:tplc="0809000F">
      <w:start w:val="1"/>
      <w:numFmt w:val="decimal"/>
      <w:lvlText w:val="%1."/>
      <w:lvlJc w:val="left"/>
      <w:pPr>
        <w:ind w:left="705" w:hanging="360"/>
      </w:pPr>
    </w:lvl>
    <w:lvl w:ilvl="1" w:tplc="08090019" w:tentative="1">
      <w:start w:val="1"/>
      <w:numFmt w:val="lowerLetter"/>
      <w:lvlText w:val="%2."/>
      <w:lvlJc w:val="left"/>
      <w:pPr>
        <w:ind w:left="1425" w:hanging="360"/>
      </w:pPr>
    </w:lvl>
    <w:lvl w:ilvl="2" w:tplc="0809001B" w:tentative="1">
      <w:start w:val="1"/>
      <w:numFmt w:val="lowerRoman"/>
      <w:lvlText w:val="%3."/>
      <w:lvlJc w:val="right"/>
      <w:pPr>
        <w:ind w:left="2145" w:hanging="180"/>
      </w:pPr>
    </w:lvl>
    <w:lvl w:ilvl="3" w:tplc="0809000F" w:tentative="1">
      <w:start w:val="1"/>
      <w:numFmt w:val="decimal"/>
      <w:lvlText w:val="%4."/>
      <w:lvlJc w:val="left"/>
      <w:pPr>
        <w:ind w:left="2865" w:hanging="360"/>
      </w:pPr>
    </w:lvl>
    <w:lvl w:ilvl="4" w:tplc="08090019" w:tentative="1">
      <w:start w:val="1"/>
      <w:numFmt w:val="lowerLetter"/>
      <w:lvlText w:val="%5."/>
      <w:lvlJc w:val="left"/>
      <w:pPr>
        <w:ind w:left="3585" w:hanging="360"/>
      </w:pPr>
    </w:lvl>
    <w:lvl w:ilvl="5" w:tplc="0809001B" w:tentative="1">
      <w:start w:val="1"/>
      <w:numFmt w:val="lowerRoman"/>
      <w:lvlText w:val="%6."/>
      <w:lvlJc w:val="right"/>
      <w:pPr>
        <w:ind w:left="4305" w:hanging="180"/>
      </w:pPr>
    </w:lvl>
    <w:lvl w:ilvl="6" w:tplc="0809000F" w:tentative="1">
      <w:start w:val="1"/>
      <w:numFmt w:val="decimal"/>
      <w:lvlText w:val="%7."/>
      <w:lvlJc w:val="left"/>
      <w:pPr>
        <w:ind w:left="5025" w:hanging="360"/>
      </w:pPr>
    </w:lvl>
    <w:lvl w:ilvl="7" w:tplc="08090019" w:tentative="1">
      <w:start w:val="1"/>
      <w:numFmt w:val="lowerLetter"/>
      <w:lvlText w:val="%8."/>
      <w:lvlJc w:val="left"/>
      <w:pPr>
        <w:ind w:left="5745" w:hanging="360"/>
      </w:pPr>
    </w:lvl>
    <w:lvl w:ilvl="8" w:tplc="0809001B" w:tentative="1">
      <w:start w:val="1"/>
      <w:numFmt w:val="lowerRoman"/>
      <w:lvlText w:val="%9."/>
      <w:lvlJc w:val="right"/>
      <w:pPr>
        <w:ind w:left="6465" w:hanging="180"/>
      </w:pPr>
    </w:lvl>
  </w:abstractNum>
  <w:abstractNum w:abstractNumId="10">
    <w:nsid w:val="5B896C86"/>
    <w:multiLevelType w:val="hybridMultilevel"/>
    <w:tmpl w:val="4D646AE6"/>
    <w:lvl w:ilvl="0" w:tplc="08090017">
      <w:start w:val="1"/>
      <w:numFmt w:val="lowerLetter"/>
      <w:lvlText w:val="%1)"/>
      <w:lvlJc w:val="left"/>
      <w:pPr>
        <w:ind w:left="1470" w:hanging="360"/>
      </w:pPr>
    </w:lvl>
    <w:lvl w:ilvl="1" w:tplc="08090019" w:tentative="1">
      <w:start w:val="1"/>
      <w:numFmt w:val="lowerLetter"/>
      <w:lvlText w:val="%2."/>
      <w:lvlJc w:val="left"/>
      <w:pPr>
        <w:ind w:left="2190" w:hanging="360"/>
      </w:pPr>
    </w:lvl>
    <w:lvl w:ilvl="2" w:tplc="0809001B" w:tentative="1">
      <w:start w:val="1"/>
      <w:numFmt w:val="lowerRoman"/>
      <w:lvlText w:val="%3."/>
      <w:lvlJc w:val="right"/>
      <w:pPr>
        <w:ind w:left="2910" w:hanging="180"/>
      </w:pPr>
    </w:lvl>
    <w:lvl w:ilvl="3" w:tplc="0809000F" w:tentative="1">
      <w:start w:val="1"/>
      <w:numFmt w:val="decimal"/>
      <w:lvlText w:val="%4."/>
      <w:lvlJc w:val="left"/>
      <w:pPr>
        <w:ind w:left="3630" w:hanging="360"/>
      </w:pPr>
    </w:lvl>
    <w:lvl w:ilvl="4" w:tplc="08090019" w:tentative="1">
      <w:start w:val="1"/>
      <w:numFmt w:val="lowerLetter"/>
      <w:lvlText w:val="%5."/>
      <w:lvlJc w:val="left"/>
      <w:pPr>
        <w:ind w:left="4350" w:hanging="360"/>
      </w:pPr>
    </w:lvl>
    <w:lvl w:ilvl="5" w:tplc="0809001B" w:tentative="1">
      <w:start w:val="1"/>
      <w:numFmt w:val="lowerRoman"/>
      <w:lvlText w:val="%6."/>
      <w:lvlJc w:val="right"/>
      <w:pPr>
        <w:ind w:left="5070" w:hanging="180"/>
      </w:pPr>
    </w:lvl>
    <w:lvl w:ilvl="6" w:tplc="0809000F" w:tentative="1">
      <w:start w:val="1"/>
      <w:numFmt w:val="decimal"/>
      <w:lvlText w:val="%7."/>
      <w:lvlJc w:val="left"/>
      <w:pPr>
        <w:ind w:left="5790" w:hanging="360"/>
      </w:pPr>
    </w:lvl>
    <w:lvl w:ilvl="7" w:tplc="08090019" w:tentative="1">
      <w:start w:val="1"/>
      <w:numFmt w:val="lowerLetter"/>
      <w:lvlText w:val="%8."/>
      <w:lvlJc w:val="left"/>
      <w:pPr>
        <w:ind w:left="6510" w:hanging="360"/>
      </w:pPr>
    </w:lvl>
    <w:lvl w:ilvl="8" w:tplc="0809001B" w:tentative="1">
      <w:start w:val="1"/>
      <w:numFmt w:val="lowerRoman"/>
      <w:lvlText w:val="%9."/>
      <w:lvlJc w:val="right"/>
      <w:pPr>
        <w:ind w:left="7230" w:hanging="180"/>
      </w:pPr>
    </w:lvl>
  </w:abstractNum>
  <w:abstractNum w:abstractNumId="11">
    <w:nsid w:val="647F15D0"/>
    <w:multiLevelType w:val="hybridMultilevel"/>
    <w:tmpl w:val="0C14C658"/>
    <w:lvl w:ilvl="0" w:tplc="0809000F">
      <w:start w:val="1"/>
      <w:numFmt w:val="decimal"/>
      <w:lvlText w:val="%1."/>
      <w:lvlJc w:val="left"/>
      <w:pPr>
        <w:ind w:left="1110" w:hanging="360"/>
      </w:pPr>
    </w:lvl>
    <w:lvl w:ilvl="1" w:tplc="08090019" w:tentative="1">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12">
    <w:nsid w:val="6599797B"/>
    <w:multiLevelType w:val="hybridMultilevel"/>
    <w:tmpl w:val="63CE5732"/>
    <w:lvl w:ilvl="0" w:tplc="25FCA1D8">
      <w:start w:val="1"/>
      <w:numFmt w:val="lowerLetter"/>
      <w:lvlText w:val="%1)"/>
      <w:lvlJc w:val="left"/>
      <w:pPr>
        <w:ind w:left="750" w:hanging="360"/>
      </w:pPr>
      <w:rPr>
        <w:rFonts w:hint="default"/>
      </w:rPr>
    </w:lvl>
    <w:lvl w:ilvl="1" w:tplc="08090019" w:tentative="1">
      <w:start w:val="1"/>
      <w:numFmt w:val="lowerLetter"/>
      <w:lvlText w:val="%2."/>
      <w:lvlJc w:val="left"/>
      <w:pPr>
        <w:ind w:left="1470" w:hanging="360"/>
      </w:pPr>
    </w:lvl>
    <w:lvl w:ilvl="2" w:tplc="0809001B" w:tentative="1">
      <w:start w:val="1"/>
      <w:numFmt w:val="lowerRoman"/>
      <w:lvlText w:val="%3."/>
      <w:lvlJc w:val="right"/>
      <w:pPr>
        <w:ind w:left="2190" w:hanging="180"/>
      </w:pPr>
    </w:lvl>
    <w:lvl w:ilvl="3" w:tplc="0809000F" w:tentative="1">
      <w:start w:val="1"/>
      <w:numFmt w:val="decimal"/>
      <w:lvlText w:val="%4."/>
      <w:lvlJc w:val="left"/>
      <w:pPr>
        <w:ind w:left="2910" w:hanging="360"/>
      </w:pPr>
    </w:lvl>
    <w:lvl w:ilvl="4" w:tplc="08090019" w:tentative="1">
      <w:start w:val="1"/>
      <w:numFmt w:val="lowerLetter"/>
      <w:lvlText w:val="%5."/>
      <w:lvlJc w:val="left"/>
      <w:pPr>
        <w:ind w:left="3630" w:hanging="360"/>
      </w:pPr>
    </w:lvl>
    <w:lvl w:ilvl="5" w:tplc="0809001B" w:tentative="1">
      <w:start w:val="1"/>
      <w:numFmt w:val="lowerRoman"/>
      <w:lvlText w:val="%6."/>
      <w:lvlJc w:val="right"/>
      <w:pPr>
        <w:ind w:left="4350" w:hanging="180"/>
      </w:pPr>
    </w:lvl>
    <w:lvl w:ilvl="6" w:tplc="0809000F" w:tentative="1">
      <w:start w:val="1"/>
      <w:numFmt w:val="decimal"/>
      <w:lvlText w:val="%7."/>
      <w:lvlJc w:val="left"/>
      <w:pPr>
        <w:ind w:left="5070" w:hanging="360"/>
      </w:pPr>
    </w:lvl>
    <w:lvl w:ilvl="7" w:tplc="08090019" w:tentative="1">
      <w:start w:val="1"/>
      <w:numFmt w:val="lowerLetter"/>
      <w:lvlText w:val="%8."/>
      <w:lvlJc w:val="left"/>
      <w:pPr>
        <w:ind w:left="5790" w:hanging="360"/>
      </w:pPr>
    </w:lvl>
    <w:lvl w:ilvl="8" w:tplc="0809001B" w:tentative="1">
      <w:start w:val="1"/>
      <w:numFmt w:val="lowerRoman"/>
      <w:lvlText w:val="%9."/>
      <w:lvlJc w:val="right"/>
      <w:pPr>
        <w:ind w:left="6510" w:hanging="180"/>
      </w:pPr>
    </w:lvl>
  </w:abstractNum>
  <w:abstractNum w:abstractNumId="13">
    <w:nsid w:val="71452B91"/>
    <w:multiLevelType w:val="hybridMultilevel"/>
    <w:tmpl w:val="21947408"/>
    <w:lvl w:ilvl="0" w:tplc="9D0E9B4E">
      <w:start w:val="1"/>
      <w:numFmt w:val="lowerLetter"/>
      <w:lvlText w:val="%1)"/>
      <w:lvlJc w:val="left"/>
      <w:pPr>
        <w:ind w:left="1110" w:hanging="360"/>
      </w:pPr>
      <w:rPr>
        <w:rFonts w:ascii="Verdana" w:hAnsi="Verdana" w:hint="default"/>
        <w:b w:val="0"/>
        <w:i w:val="0"/>
        <w:caps w:val="0"/>
        <w:strike w:val="0"/>
        <w:dstrike w:val="0"/>
        <w:vanish w:val="0"/>
        <w:color w:val="auto"/>
        <w:sz w:val="20"/>
        <w:vertAlign w:val="baseline"/>
      </w:rPr>
    </w:lvl>
    <w:lvl w:ilvl="1" w:tplc="08090019" w:tentative="1">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14">
    <w:nsid w:val="74E70630"/>
    <w:multiLevelType w:val="hybridMultilevel"/>
    <w:tmpl w:val="4E9C4116"/>
    <w:lvl w:ilvl="0" w:tplc="25FCA1D8">
      <w:start w:val="1"/>
      <w:numFmt w:val="lowerLetter"/>
      <w:lvlText w:val="%1)"/>
      <w:lvlJc w:val="left"/>
      <w:pPr>
        <w:ind w:left="750" w:hanging="360"/>
      </w:pPr>
      <w:rPr>
        <w:rFonts w:hint="default"/>
      </w:rPr>
    </w:lvl>
    <w:lvl w:ilvl="1" w:tplc="08090019">
      <w:start w:val="1"/>
      <w:numFmt w:val="lowerLetter"/>
      <w:lvlText w:val="%2."/>
      <w:lvlJc w:val="left"/>
      <w:pPr>
        <w:ind w:left="1470" w:hanging="360"/>
      </w:pPr>
    </w:lvl>
    <w:lvl w:ilvl="2" w:tplc="0809001B">
      <w:start w:val="1"/>
      <w:numFmt w:val="lowerRoman"/>
      <w:lvlText w:val="%3."/>
      <w:lvlJc w:val="right"/>
      <w:pPr>
        <w:ind w:left="2190" w:hanging="180"/>
      </w:pPr>
    </w:lvl>
    <w:lvl w:ilvl="3" w:tplc="0809000F" w:tentative="1">
      <w:start w:val="1"/>
      <w:numFmt w:val="decimal"/>
      <w:lvlText w:val="%4."/>
      <w:lvlJc w:val="left"/>
      <w:pPr>
        <w:ind w:left="2910" w:hanging="360"/>
      </w:pPr>
    </w:lvl>
    <w:lvl w:ilvl="4" w:tplc="08090019" w:tentative="1">
      <w:start w:val="1"/>
      <w:numFmt w:val="lowerLetter"/>
      <w:lvlText w:val="%5."/>
      <w:lvlJc w:val="left"/>
      <w:pPr>
        <w:ind w:left="3630" w:hanging="360"/>
      </w:pPr>
    </w:lvl>
    <w:lvl w:ilvl="5" w:tplc="0809001B" w:tentative="1">
      <w:start w:val="1"/>
      <w:numFmt w:val="lowerRoman"/>
      <w:lvlText w:val="%6."/>
      <w:lvlJc w:val="right"/>
      <w:pPr>
        <w:ind w:left="4350" w:hanging="180"/>
      </w:pPr>
    </w:lvl>
    <w:lvl w:ilvl="6" w:tplc="0809000F" w:tentative="1">
      <w:start w:val="1"/>
      <w:numFmt w:val="decimal"/>
      <w:lvlText w:val="%7."/>
      <w:lvlJc w:val="left"/>
      <w:pPr>
        <w:ind w:left="5070" w:hanging="360"/>
      </w:pPr>
    </w:lvl>
    <w:lvl w:ilvl="7" w:tplc="08090019" w:tentative="1">
      <w:start w:val="1"/>
      <w:numFmt w:val="lowerLetter"/>
      <w:lvlText w:val="%8."/>
      <w:lvlJc w:val="left"/>
      <w:pPr>
        <w:ind w:left="5790" w:hanging="360"/>
      </w:pPr>
    </w:lvl>
    <w:lvl w:ilvl="8" w:tplc="0809001B" w:tentative="1">
      <w:start w:val="1"/>
      <w:numFmt w:val="lowerRoman"/>
      <w:lvlText w:val="%9."/>
      <w:lvlJc w:val="right"/>
      <w:pPr>
        <w:ind w:left="6510" w:hanging="180"/>
      </w:pPr>
    </w:lvl>
  </w:abstractNum>
  <w:abstractNum w:abstractNumId="15">
    <w:nsid w:val="759C31C3"/>
    <w:multiLevelType w:val="multilevel"/>
    <w:tmpl w:val="7E52975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4"/>
  </w:num>
  <w:num w:numId="3">
    <w:abstractNumId w:val="12"/>
  </w:num>
  <w:num w:numId="4">
    <w:abstractNumId w:val="4"/>
  </w:num>
  <w:num w:numId="5">
    <w:abstractNumId w:val="1"/>
  </w:num>
  <w:num w:numId="6">
    <w:abstractNumId w:val="5"/>
  </w:num>
  <w:num w:numId="7">
    <w:abstractNumId w:val="8"/>
  </w:num>
  <w:num w:numId="8">
    <w:abstractNumId w:val="10"/>
  </w:num>
  <w:num w:numId="9">
    <w:abstractNumId w:val="0"/>
  </w:num>
  <w:num w:numId="10">
    <w:abstractNumId w:val="3"/>
  </w:num>
  <w:num w:numId="11">
    <w:abstractNumId w:val="11"/>
  </w:num>
  <w:num w:numId="12">
    <w:abstractNumId w:val="13"/>
  </w:num>
  <w:num w:numId="13">
    <w:abstractNumId w:val="2"/>
  </w:num>
  <w:num w:numId="14">
    <w:abstractNumId w:val="6"/>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DB8"/>
    <w:rsid w:val="000103E0"/>
    <w:rsid w:val="000174B1"/>
    <w:rsid w:val="00026824"/>
    <w:rsid w:val="0007707F"/>
    <w:rsid w:val="001201C7"/>
    <w:rsid w:val="00142285"/>
    <w:rsid w:val="00172608"/>
    <w:rsid w:val="001E4520"/>
    <w:rsid w:val="00254082"/>
    <w:rsid w:val="00283032"/>
    <w:rsid w:val="0029040F"/>
    <w:rsid w:val="00291EBA"/>
    <w:rsid w:val="002E3CDB"/>
    <w:rsid w:val="00365644"/>
    <w:rsid w:val="003759EA"/>
    <w:rsid w:val="003A2333"/>
    <w:rsid w:val="004136DF"/>
    <w:rsid w:val="004146B5"/>
    <w:rsid w:val="004317B7"/>
    <w:rsid w:val="004422EC"/>
    <w:rsid w:val="00527755"/>
    <w:rsid w:val="00530012"/>
    <w:rsid w:val="00554B31"/>
    <w:rsid w:val="005C07B7"/>
    <w:rsid w:val="00603D28"/>
    <w:rsid w:val="00621574"/>
    <w:rsid w:val="00666AB4"/>
    <w:rsid w:val="00675CA4"/>
    <w:rsid w:val="00774224"/>
    <w:rsid w:val="007A228B"/>
    <w:rsid w:val="00810B5E"/>
    <w:rsid w:val="00845820"/>
    <w:rsid w:val="008B3783"/>
    <w:rsid w:val="008D17F0"/>
    <w:rsid w:val="008F0542"/>
    <w:rsid w:val="00992A16"/>
    <w:rsid w:val="0099719D"/>
    <w:rsid w:val="009A5CC8"/>
    <w:rsid w:val="00A46850"/>
    <w:rsid w:val="00A72F27"/>
    <w:rsid w:val="00AC1689"/>
    <w:rsid w:val="00AF423F"/>
    <w:rsid w:val="00B1747F"/>
    <w:rsid w:val="00B775F8"/>
    <w:rsid w:val="00BE6992"/>
    <w:rsid w:val="00C10150"/>
    <w:rsid w:val="00C1579B"/>
    <w:rsid w:val="00C458CA"/>
    <w:rsid w:val="00C77512"/>
    <w:rsid w:val="00C862D9"/>
    <w:rsid w:val="00D36802"/>
    <w:rsid w:val="00D74421"/>
    <w:rsid w:val="00D932A7"/>
    <w:rsid w:val="00DB02FD"/>
    <w:rsid w:val="00E21DB8"/>
    <w:rsid w:val="00E22B79"/>
    <w:rsid w:val="00E263EF"/>
    <w:rsid w:val="00E618E4"/>
    <w:rsid w:val="00EB3410"/>
    <w:rsid w:val="00EB7F9D"/>
    <w:rsid w:val="00F25CD7"/>
    <w:rsid w:val="00F51078"/>
    <w:rsid w:val="00FC72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7755"/>
    <w:pPr>
      <w:spacing w:after="0" w:line="240" w:lineRule="auto"/>
    </w:pPr>
  </w:style>
  <w:style w:type="paragraph" w:styleId="Header">
    <w:name w:val="header"/>
    <w:basedOn w:val="Normal"/>
    <w:link w:val="HeaderChar"/>
    <w:uiPriority w:val="99"/>
    <w:unhideWhenUsed/>
    <w:rsid w:val="00BE69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6992"/>
  </w:style>
  <w:style w:type="paragraph" w:styleId="Footer">
    <w:name w:val="footer"/>
    <w:basedOn w:val="Normal"/>
    <w:link w:val="FooterChar"/>
    <w:uiPriority w:val="99"/>
    <w:unhideWhenUsed/>
    <w:rsid w:val="00BE69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6992"/>
  </w:style>
  <w:style w:type="paragraph" w:styleId="ListParagraph">
    <w:name w:val="List Paragraph"/>
    <w:basedOn w:val="Normal"/>
    <w:uiPriority w:val="34"/>
    <w:qFormat/>
    <w:rsid w:val="00365644"/>
    <w:pPr>
      <w:ind w:left="720"/>
      <w:contextualSpacing/>
    </w:pPr>
  </w:style>
  <w:style w:type="paragraph" w:styleId="BalloonText">
    <w:name w:val="Balloon Text"/>
    <w:basedOn w:val="Normal"/>
    <w:link w:val="BalloonTextChar"/>
    <w:uiPriority w:val="99"/>
    <w:semiHidden/>
    <w:unhideWhenUsed/>
    <w:rsid w:val="00C775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7512"/>
    <w:rPr>
      <w:rFonts w:ascii="Tahoma" w:hAnsi="Tahoma" w:cs="Tahoma"/>
      <w:sz w:val="16"/>
      <w:szCs w:val="16"/>
    </w:rPr>
  </w:style>
  <w:style w:type="paragraph" w:customStyle="1" w:styleId="ReferenceNumber">
    <w:name w:val="Reference Number"/>
    <w:basedOn w:val="Normal"/>
    <w:qFormat/>
    <w:rsid w:val="00C77512"/>
    <w:pPr>
      <w:tabs>
        <w:tab w:val="left" w:pos="1480"/>
      </w:tabs>
      <w:spacing w:after="0" w:line="240" w:lineRule="auto"/>
      <w:jc w:val="right"/>
    </w:pPr>
    <w:rPr>
      <w:rFonts w:ascii="Verdana" w:hAnsi="Verdana"/>
      <w:sz w:val="20"/>
      <w:szCs w:val="20"/>
    </w:rPr>
  </w:style>
  <w:style w:type="character" w:customStyle="1" w:styleId="Regular">
    <w:name w:val="Regular"/>
    <w:basedOn w:val="DefaultParagraphFont"/>
    <w:uiPriority w:val="1"/>
    <w:qFormat/>
    <w:rsid w:val="00C77512"/>
  </w:style>
  <w:style w:type="paragraph" w:customStyle="1" w:styleId="QISIndentCharCharChar">
    <w:name w:val="QISIndent Char Char Char"/>
    <w:basedOn w:val="Normal"/>
    <w:rsid w:val="00C77512"/>
    <w:pPr>
      <w:spacing w:after="240" w:line="240" w:lineRule="auto"/>
      <w:ind w:left="1134"/>
      <w:jc w:val="both"/>
    </w:pPr>
    <w:rPr>
      <w:rFonts w:ascii="Verdana" w:eastAsia="MS Mincho" w:hAnsi="Verdana" w:cs="Times New Roman"/>
      <w:szCs w:val="20"/>
      <w:lang w:eastAsia="ja-JP"/>
    </w:rPr>
  </w:style>
  <w:style w:type="paragraph" w:customStyle="1" w:styleId="CoverTitle">
    <w:name w:val="Cover Title"/>
    <w:basedOn w:val="Normal"/>
    <w:rsid w:val="00C77512"/>
    <w:pPr>
      <w:shd w:val="clear" w:color="auto" w:fill="D0E7F6"/>
      <w:spacing w:before="240" w:after="240" w:line="240" w:lineRule="auto"/>
      <w:jc w:val="center"/>
    </w:pPr>
    <w:rPr>
      <w:rFonts w:ascii="Verdana" w:hAnsi="Verdana" w:cs="Verdana,Bold"/>
      <w:b/>
      <w:bCs/>
      <w:sz w:val="40"/>
      <w:szCs w:val="40"/>
    </w:rPr>
  </w:style>
  <w:style w:type="character" w:styleId="CommentReference">
    <w:name w:val="annotation reference"/>
    <w:basedOn w:val="DefaultParagraphFont"/>
    <w:uiPriority w:val="99"/>
    <w:semiHidden/>
    <w:unhideWhenUsed/>
    <w:rsid w:val="00C77512"/>
    <w:rPr>
      <w:sz w:val="16"/>
      <w:szCs w:val="16"/>
    </w:rPr>
  </w:style>
  <w:style w:type="paragraph" w:styleId="CommentText">
    <w:name w:val="annotation text"/>
    <w:basedOn w:val="Normal"/>
    <w:link w:val="CommentTextChar"/>
    <w:uiPriority w:val="99"/>
    <w:semiHidden/>
    <w:unhideWhenUsed/>
    <w:rsid w:val="00C77512"/>
    <w:pPr>
      <w:spacing w:line="240" w:lineRule="auto"/>
    </w:pPr>
    <w:rPr>
      <w:sz w:val="20"/>
      <w:szCs w:val="20"/>
    </w:rPr>
  </w:style>
  <w:style w:type="character" w:customStyle="1" w:styleId="CommentTextChar">
    <w:name w:val="Comment Text Char"/>
    <w:basedOn w:val="DefaultParagraphFont"/>
    <w:link w:val="CommentText"/>
    <w:uiPriority w:val="99"/>
    <w:semiHidden/>
    <w:rsid w:val="00C77512"/>
    <w:rPr>
      <w:sz w:val="20"/>
      <w:szCs w:val="20"/>
    </w:rPr>
  </w:style>
  <w:style w:type="paragraph" w:styleId="CommentSubject">
    <w:name w:val="annotation subject"/>
    <w:basedOn w:val="CommentText"/>
    <w:next w:val="CommentText"/>
    <w:link w:val="CommentSubjectChar"/>
    <w:uiPriority w:val="99"/>
    <w:semiHidden/>
    <w:unhideWhenUsed/>
    <w:rsid w:val="00C77512"/>
    <w:rPr>
      <w:b/>
      <w:bCs/>
    </w:rPr>
  </w:style>
  <w:style w:type="character" w:customStyle="1" w:styleId="CommentSubjectChar">
    <w:name w:val="Comment Subject Char"/>
    <w:basedOn w:val="CommentTextChar"/>
    <w:link w:val="CommentSubject"/>
    <w:uiPriority w:val="99"/>
    <w:semiHidden/>
    <w:rsid w:val="00C77512"/>
    <w:rPr>
      <w:b/>
      <w:bCs/>
      <w:sz w:val="20"/>
      <w:szCs w:val="20"/>
    </w:rPr>
  </w:style>
  <w:style w:type="table" w:styleId="TableGrid">
    <w:name w:val="Table Grid"/>
    <w:basedOn w:val="TableNormal"/>
    <w:uiPriority w:val="59"/>
    <w:rsid w:val="00E61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E618E4"/>
    <w:pPr>
      <w:spacing w:after="0" w:line="240" w:lineRule="auto"/>
    </w:pPr>
    <w:rPr>
      <w:rFonts w:ascii="Times New Roman" w:eastAsia="Times New Roman" w:hAnsi="Times New Roman" w:cs="Times New Roman"/>
      <w:sz w:val="20"/>
      <w:szCs w:val="24"/>
      <w:lang w:eastAsia="de-DE"/>
    </w:rPr>
  </w:style>
  <w:style w:type="character" w:customStyle="1" w:styleId="EndnoteTextChar">
    <w:name w:val="Endnote Text Char"/>
    <w:basedOn w:val="DefaultParagraphFont"/>
    <w:link w:val="EndnoteText"/>
    <w:semiHidden/>
    <w:rsid w:val="00E618E4"/>
    <w:rPr>
      <w:rFonts w:ascii="Times New Roman" w:eastAsia="Times New Roman" w:hAnsi="Times New Roman" w:cs="Times New Roman"/>
      <w:sz w:val="20"/>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7755"/>
    <w:pPr>
      <w:spacing w:after="0" w:line="240" w:lineRule="auto"/>
    </w:pPr>
  </w:style>
  <w:style w:type="paragraph" w:styleId="Header">
    <w:name w:val="header"/>
    <w:basedOn w:val="Normal"/>
    <w:link w:val="HeaderChar"/>
    <w:uiPriority w:val="99"/>
    <w:unhideWhenUsed/>
    <w:rsid w:val="00BE69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6992"/>
  </w:style>
  <w:style w:type="paragraph" w:styleId="Footer">
    <w:name w:val="footer"/>
    <w:basedOn w:val="Normal"/>
    <w:link w:val="FooterChar"/>
    <w:uiPriority w:val="99"/>
    <w:unhideWhenUsed/>
    <w:rsid w:val="00BE69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6992"/>
  </w:style>
  <w:style w:type="paragraph" w:styleId="ListParagraph">
    <w:name w:val="List Paragraph"/>
    <w:basedOn w:val="Normal"/>
    <w:uiPriority w:val="34"/>
    <w:qFormat/>
    <w:rsid w:val="00365644"/>
    <w:pPr>
      <w:ind w:left="720"/>
      <w:contextualSpacing/>
    </w:pPr>
  </w:style>
  <w:style w:type="paragraph" w:styleId="BalloonText">
    <w:name w:val="Balloon Text"/>
    <w:basedOn w:val="Normal"/>
    <w:link w:val="BalloonTextChar"/>
    <w:uiPriority w:val="99"/>
    <w:semiHidden/>
    <w:unhideWhenUsed/>
    <w:rsid w:val="00C775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7512"/>
    <w:rPr>
      <w:rFonts w:ascii="Tahoma" w:hAnsi="Tahoma" w:cs="Tahoma"/>
      <w:sz w:val="16"/>
      <w:szCs w:val="16"/>
    </w:rPr>
  </w:style>
  <w:style w:type="paragraph" w:customStyle="1" w:styleId="ReferenceNumber">
    <w:name w:val="Reference Number"/>
    <w:basedOn w:val="Normal"/>
    <w:qFormat/>
    <w:rsid w:val="00C77512"/>
    <w:pPr>
      <w:tabs>
        <w:tab w:val="left" w:pos="1480"/>
      </w:tabs>
      <w:spacing w:after="0" w:line="240" w:lineRule="auto"/>
      <w:jc w:val="right"/>
    </w:pPr>
    <w:rPr>
      <w:rFonts w:ascii="Verdana" w:hAnsi="Verdana"/>
      <w:sz w:val="20"/>
      <w:szCs w:val="20"/>
    </w:rPr>
  </w:style>
  <w:style w:type="character" w:customStyle="1" w:styleId="Regular">
    <w:name w:val="Regular"/>
    <w:basedOn w:val="DefaultParagraphFont"/>
    <w:uiPriority w:val="1"/>
    <w:qFormat/>
    <w:rsid w:val="00C77512"/>
  </w:style>
  <w:style w:type="paragraph" w:customStyle="1" w:styleId="QISIndentCharCharChar">
    <w:name w:val="QISIndent Char Char Char"/>
    <w:basedOn w:val="Normal"/>
    <w:rsid w:val="00C77512"/>
    <w:pPr>
      <w:spacing w:after="240" w:line="240" w:lineRule="auto"/>
      <w:ind w:left="1134"/>
      <w:jc w:val="both"/>
    </w:pPr>
    <w:rPr>
      <w:rFonts w:ascii="Verdana" w:eastAsia="MS Mincho" w:hAnsi="Verdana" w:cs="Times New Roman"/>
      <w:szCs w:val="20"/>
      <w:lang w:eastAsia="ja-JP"/>
    </w:rPr>
  </w:style>
  <w:style w:type="paragraph" w:customStyle="1" w:styleId="CoverTitle">
    <w:name w:val="Cover Title"/>
    <w:basedOn w:val="Normal"/>
    <w:rsid w:val="00C77512"/>
    <w:pPr>
      <w:shd w:val="clear" w:color="auto" w:fill="D0E7F6"/>
      <w:spacing w:before="240" w:after="240" w:line="240" w:lineRule="auto"/>
      <w:jc w:val="center"/>
    </w:pPr>
    <w:rPr>
      <w:rFonts w:ascii="Verdana" w:hAnsi="Verdana" w:cs="Verdana,Bold"/>
      <w:b/>
      <w:bCs/>
      <w:sz w:val="40"/>
      <w:szCs w:val="40"/>
    </w:rPr>
  </w:style>
  <w:style w:type="character" w:styleId="CommentReference">
    <w:name w:val="annotation reference"/>
    <w:basedOn w:val="DefaultParagraphFont"/>
    <w:uiPriority w:val="99"/>
    <w:semiHidden/>
    <w:unhideWhenUsed/>
    <w:rsid w:val="00C77512"/>
    <w:rPr>
      <w:sz w:val="16"/>
      <w:szCs w:val="16"/>
    </w:rPr>
  </w:style>
  <w:style w:type="paragraph" w:styleId="CommentText">
    <w:name w:val="annotation text"/>
    <w:basedOn w:val="Normal"/>
    <w:link w:val="CommentTextChar"/>
    <w:uiPriority w:val="99"/>
    <w:semiHidden/>
    <w:unhideWhenUsed/>
    <w:rsid w:val="00C77512"/>
    <w:pPr>
      <w:spacing w:line="240" w:lineRule="auto"/>
    </w:pPr>
    <w:rPr>
      <w:sz w:val="20"/>
      <w:szCs w:val="20"/>
    </w:rPr>
  </w:style>
  <w:style w:type="character" w:customStyle="1" w:styleId="CommentTextChar">
    <w:name w:val="Comment Text Char"/>
    <w:basedOn w:val="DefaultParagraphFont"/>
    <w:link w:val="CommentText"/>
    <w:uiPriority w:val="99"/>
    <w:semiHidden/>
    <w:rsid w:val="00C77512"/>
    <w:rPr>
      <w:sz w:val="20"/>
      <w:szCs w:val="20"/>
    </w:rPr>
  </w:style>
  <w:style w:type="paragraph" w:styleId="CommentSubject">
    <w:name w:val="annotation subject"/>
    <w:basedOn w:val="CommentText"/>
    <w:next w:val="CommentText"/>
    <w:link w:val="CommentSubjectChar"/>
    <w:uiPriority w:val="99"/>
    <w:semiHidden/>
    <w:unhideWhenUsed/>
    <w:rsid w:val="00C77512"/>
    <w:rPr>
      <w:b/>
      <w:bCs/>
    </w:rPr>
  </w:style>
  <w:style w:type="character" w:customStyle="1" w:styleId="CommentSubjectChar">
    <w:name w:val="Comment Subject Char"/>
    <w:basedOn w:val="CommentTextChar"/>
    <w:link w:val="CommentSubject"/>
    <w:uiPriority w:val="99"/>
    <w:semiHidden/>
    <w:rsid w:val="00C77512"/>
    <w:rPr>
      <w:b/>
      <w:bCs/>
      <w:sz w:val="20"/>
      <w:szCs w:val="20"/>
    </w:rPr>
  </w:style>
  <w:style w:type="table" w:styleId="TableGrid">
    <w:name w:val="Table Grid"/>
    <w:basedOn w:val="TableNormal"/>
    <w:uiPriority w:val="59"/>
    <w:rsid w:val="00E61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E618E4"/>
    <w:pPr>
      <w:spacing w:after="0" w:line="240" w:lineRule="auto"/>
    </w:pPr>
    <w:rPr>
      <w:rFonts w:ascii="Times New Roman" w:eastAsia="Times New Roman" w:hAnsi="Times New Roman" w:cs="Times New Roman"/>
      <w:sz w:val="20"/>
      <w:szCs w:val="24"/>
      <w:lang w:eastAsia="de-DE"/>
    </w:rPr>
  </w:style>
  <w:style w:type="character" w:customStyle="1" w:styleId="EndnoteTextChar">
    <w:name w:val="Endnote Text Char"/>
    <w:basedOn w:val="DefaultParagraphFont"/>
    <w:link w:val="EndnoteText"/>
    <w:semiHidden/>
    <w:rsid w:val="00E618E4"/>
    <w:rPr>
      <w:rFonts w:ascii="Times New Roman" w:eastAsia="Times New Roman" w:hAnsi="Times New Roman" w:cs="Times New Roman"/>
      <w:sz w:val="20"/>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9</Pages>
  <Words>2998</Words>
  <Characters>17090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EIOPA</Company>
  <LinksUpToDate>false</LinksUpToDate>
  <CharactersWithSpaces>20048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Ivana Sivric</dc:creator>
  <cp:lastModifiedBy>Ivana Sivric</cp:lastModifiedBy>
  <cp:revision>8</cp:revision>
  <dcterms:created xsi:type="dcterms:W3CDTF">2017-06-09T12:30:00Z</dcterms:created>
  <dcterms:modified xsi:type="dcterms:W3CDTF">2017-06-19T10:58:00Z</dcterms:modified>
</cp:coreProperties>
</file>